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9A0C1B" w14:textId="77777777" w:rsidR="00883C54" w:rsidRDefault="00883C54">
      <w:pPr>
        <w:jc w:val="both"/>
        <w:rPr>
          <w:rFonts w:ascii="宋体" w:hAnsi="宋体"/>
        </w:rPr>
      </w:pPr>
    </w:p>
    <w:p w14:paraId="23CF2660" w14:textId="77777777" w:rsidR="00883C54" w:rsidRDefault="00883C54">
      <w:pPr>
        <w:jc w:val="both"/>
        <w:rPr>
          <w:rFonts w:ascii="宋体" w:hAnsi="宋体"/>
        </w:rPr>
      </w:pPr>
    </w:p>
    <w:p w14:paraId="5CFFFE0D" w14:textId="77777777" w:rsidR="00883C54" w:rsidRDefault="00883C54">
      <w:pPr>
        <w:jc w:val="both"/>
        <w:rPr>
          <w:rFonts w:ascii="宋体" w:hAnsi="宋体"/>
        </w:rPr>
      </w:pPr>
    </w:p>
    <w:p w14:paraId="63C21602" w14:textId="77777777" w:rsidR="00883C54" w:rsidRDefault="00883C54">
      <w:pPr>
        <w:jc w:val="both"/>
        <w:rPr>
          <w:rFonts w:ascii="宋体" w:hAnsi="宋体"/>
        </w:rPr>
      </w:pPr>
    </w:p>
    <w:p w14:paraId="27D32A0A" w14:textId="77777777" w:rsidR="00883C54" w:rsidRDefault="00883C54">
      <w:pPr>
        <w:jc w:val="both"/>
        <w:rPr>
          <w:rFonts w:ascii="宋体" w:hAnsi="宋体"/>
        </w:rPr>
      </w:pPr>
    </w:p>
    <w:p w14:paraId="6B0076E8" w14:textId="77777777" w:rsidR="00883C54" w:rsidRDefault="00883C54">
      <w:pPr>
        <w:tabs>
          <w:tab w:val="left" w:pos="709"/>
        </w:tabs>
        <w:jc w:val="both"/>
        <w:rPr>
          <w:rFonts w:ascii="宋体" w:hAnsi="宋体"/>
        </w:rPr>
      </w:pPr>
    </w:p>
    <w:p w14:paraId="0BDE81BE" w14:textId="77777777" w:rsidR="00883C54" w:rsidRDefault="00883C54">
      <w:pPr>
        <w:jc w:val="both"/>
        <w:rPr>
          <w:rFonts w:ascii="宋体" w:hAnsi="宋体"/>
        </w:rPr>
      </w:pPr>
    </w:p>
    <w:p w14:paraId="72241962" w14:textId="77777777" w:rsidR="00883C54" w:rsidRPr="005425F2" w:rsidRDefault="007D136F">
      <w:pPr>
        <w:jc w:val="center"/>
        <w:rPr>
          <w:rFonts w:ascii="宋体" w:hAnsi="宋体"/>
          <w:b/>
          <w:sz w:val="48"/>
          <w:szCs w:val="48"/>
          <w:highlight w:val="yellow"/>
        </w:rPr>
      </w:pPr>
      <w:proofErr w:type="spellStart"/>
      <w:r w:rsidRPr="005425F2">
        <w:rPr>
          <w:rFonts w:ascii="宋体" w:hAnsi="宋体"/>
          <w:b/>
          <w:sz w:val="48"/>
          <w:szCs w:val="48"/>
          <w:highlight w:val="yellow"/>
        </w:rPr>
        <w:t>Xx</w:t>
      </w:r>
      <w:proofErr w:type="spellEnd"/>
      <w:r w:rsidRPr="005425F2">
        <w:rPr>
          <w:rFonts w:ascii="宋体" w:hAnsi="宋体" w:hint="eastAsia"/>
          <w:b/>
          <w:sz w:val="48"/>
          <w:szCs w:val="48"/>
          <w:highlight w:val="yellow"/>
        </w:rPr>
        <w:t>单位</w:t>
      </w:r>
    </w:p>
    <w:p w14:paraId="6DEEA9C1" w14:textId="77777777" w:rsidR="00883C54" w:rsidRDefault="007D136F">
      <w:pPr>
        <w:jc w:val="center"/>
        <w:rPr>
          <w:rFonts w:ascii="宋体" w:hAnsi="宋体"/>
          <w:b/>
          <w:sz w:val="48"/>
          <w:szCs w:val="48"/>
        </w:rPr>
      </w:pPr>
      <w:r>
        <w:rPr>
          <w:rFonts w:ascii="宋体" w:hAnsi="宋体" w:hint="eastAsia"/>
          <w:b/>
          <w:sz w:val="48"/>
          <w:szCs w:val="48"/>
        </w:rPr>
        <w:t>内部控制风险评估报告</w:t>
      </w:r>
    </w:p>
    <w:p w14:paraId="77F33357" w14:textId="77777777" w:rsidR="00883C54" w:rsidRDefault="00883C54">
      <w:pPr>
        <w:jc w:val="both"/>
        <w:rPr>
          <w:rFonts w:ascii="宋体" w:hAnsi="宋体"/>
          <w:b/>
          <w:sz w:val="48"/>
          <w:szCs w:val="48"/>
        </w:rPr>
      </w:pPr>
    </w:p>
    <w:p w14:paraId="480595E7" w14:textId="77777777" w:rsidR="00883C54" w:rsidRDefault="00883C54">
      <w:pPr>
        <w:jc w:val="both"/>
        <w:rPr>
          <w:rFonts w:ascii="宋体" w:hAnsi="宋体"/>
          <w:b/>
          <w:sz w:val="48"/>
          <w:szCs w:val="48"/>
        </w:rPr>
      </w:pPr>
    </w:p>
    <w:p w14:paraId="19549E28" w14:textId="77777777" w:rsidR="00883C54" w:rsidRDefault="00883C54">
      <w:pPr>
        <w:jc w:val="both"/>
        <w:rPr>
          <w:rFonts w:ascii="宋体" w:hAnsi="宋体"/>
          <w:b/>
          <w:sz w:val="44"/>
          <w:szCs w:val="44"/>
        </w:rPr>
      </w:pPr>
    </w:p>
    <w:p w14:paraId="5E4412D6" w14:textId="77777777" w:rsidR="00883C54" w:rsidRDefault="00883C54">
      <w:pPr>
        <w:jc w:val="both"/>
        <w:rPr>
          <w:rFonts w:ascii="宋体" w:hAnsi="宋体"/>
          <w:b/>
          <w:sz w:val="44"/>
          <w:szCs w:val="44"/>
        </w:rPr>
      </w:pPr>
    </w:p>
    <w:p w14:paraId="74937F52" w14:textId="77777777" w:rsidR="00883C54" w:rsidRDefault="00883C54">
      <w:pPr>
        <w:jc w:val="both"/>
        <w:rPr>
          <w:rFonts w:ascii="宋体" w:hAnsi="宋体"/>
          <w:b/>
          <w:sz w:val="44"/>
          <w:szCs w:val="44"/>
        </w:rPr>
      </w:pPr>
    </w:p>
    <w:p w14:paraId="598855FD" w14:textId="77777777" w:rsidR="00883C54" w:rsidRDefault="00883C54">
      <w:pPr>
        <w:jc w:val="both"/>
        <w:rPr>
          <w:rFonts w:ascii="宋体" w:hAnsi="宋体"/>
          <w:b/>
          <w:sz w:val="44"/>
          <w:szCs w:val="44"/>
        </w:rPr>
      </w:pPr>
    </w:p>
    <w:p w14:paraId="5E57A5A6" w14:textId="77777777" w:rsidR="00883C54" w:rsidRDefault="00883C54">
      <w:pPr>
        <w:jc w:val="both"/>
        <w:rPr>
          <w:rFonts w:ascii="宋体" w:hAnsi="宋体"/>
          <w:b/>
          <w:sz w:val="44"/>
          <w:szCs w:val="44"/>
        </w:rPr>
      </w:pPr>
    </w:p>
    <w:p w14:paraId="637AA9DE" w14:textId="77777777" w:rsidR="00883C54" w:rsidRDefault="00883C54">
      <w:pPr>
        <w:ind w:firstLineChars="407" w:firstLine="1307"/>
        <w:jc w:val="both"/>
        <w:rPr>
          <w:rFonts w:ascii="宋体" w:hAnsi="宋体"/>
          <w:b/>
          <w:sz w:val="32"/>
          <w:szCs w:val="32"/>
        </w:rPr>
      </w:pPr>
    </w:p>
    <w:p w14:paraId="73D39E4F" w14:textId="77777777" w:rsidR="00883C54" w:rsidRDefault="007D136F">
      <w:pPr>
        <w:jc w:val="center"/>
        <w:rPr>
          <w:rFonts w:ascii="宋体" w:hAnsi="宋体"/>
          <w:b/>
          <w:sz w:val="32"/>
          <w:szCs w:val="32"/>
        </w:rPr>
      </w:pPr>
      <w:r>
        <w:rPr>
          <w:rFonts w:ascii="宋体" w:hAnsi="宋体"/>
          <w:b/>
          <w:sz w:val="32"/>
          <w:szCs w:val="32"/>
        </w:rPr>
        <w:br w:type="page"/>
      </w:r>
    </w:p>
    <w:p w14:paraId="186D35C9" w14:textId="77777777" w:rsidR="00883C54" w:rsidRDefault="00883C54">
      <w:pPr>
        <w:jc w:val="both"/>
        <w:rPr>
          <w:rFonts w:ascii="宋体" w:hAnsi="宋体"/>
          <w:b/>
          <w:sz w:val="32"/>
          <w:szCs w:val="32"/>
        </w:rPr>
        <w:sectPr w:rsidR="00883C5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81"/>
        </w:sectPr>
      </w:pPr>
    </w:p>
    <w:sdt>
      <w:sdtPr>
        <w:rPr>
          <w:rFonts w:ascii="宋体" w:eastAsia="宋体" w:hAnsi="宋体" w:cs="Times New Roman"/>
          <w:color w:val="auto"/>
          <w:kern w:val="21"/>
          <w:sz w:val="28"/>
          <w:szCs w:val="24"/>
          <w:lang w:val="zh-CN"/>
        </w:rPr>
        <w:id w:val="-22876712"/>
      </w:sdtPr>
      <w:sdtEndPr>
        <w:rPr>
          <w:b/>
          <w:bCs/>
        </w:rPr>
      </w:sdtEndPr>
      <w:sdtContent>
        <w:p w14:paraId="30B527E1" w14:textId="77777777" w:rsidR="00883C54" w:rsidRDefault="007D136F">
          <w:pPr>
            <w:pStyle w:val="TOC10"/>
            <w:spacing w:before="0" w:line="240" w:lineRule="atLeast"/>
            <w:rPr>
              <w:rFonts w:ascii="宋体" w:eastAsia="宋体" w:hAnsi="宋体"/>
              <w:color w:val="auto"/>
            </w:rPr>
          </w:pPr>
          <w:r>
            <w:rPr>
              <w:rFonts w:ascii="宋体" w:eastAsia="宋体" w:hAnsi="宋体"/>
              <w:color w:val="auto"/>
              <w:lang w:val="zh-CN"/>
            </w:rPr>
            <w:t>目录</w:t>
          </w:r>
        </w:p>
        <w:p w14:paraId="30C79DA2" w14:textId="77777777" w:rsidR="00883C54" w:rsidRDefault="007D136F">
          <w:pPr>
            <w:pStyle w:val="TOC1"/>
            <w:tabs>
              <w:tab w:val="right" w:leader="dot" w:pos="8302"/>
            </w:tabs>
            <w:ind w:firstLine="640"/>
            <w:rPr>
              <w:rFonts w:asciiTheme="minorHAnsi" w:eastAsiaTheme="minorEastAsia" w:hAnsiTheme="minorHAnsi" w:cstheme="minorBidi"/>
              <w:kern w:val="2"/>
              <w:sz w:val="21"/>
              <w:szCs w:val="22"/>
            </w:rPr>
          </w:pPr>
          <w:r>
            <w:rPr>
              <w:rFonts w:ascii="宋体" w:eastAsia="宋体" w:hAnsi="宋体"/>
              <w:sz w:val="32"/>
            </w:rPr>
            <w:fldChar w:fldCharType="begin"/>
          </w:r>
          <w:r>
            <w:rPr>
              <w:rFonts w:ascii="宋体" w:eastAsia="宋体" w:hAnsi="宋体"/>
              <w:sz w:val="32"/>
            </w:rPr>
            <w:instrText xml:space="preserve"> TOC \o "1-3" \h \z \u </w:instrText>
          </w:r>
          <w:r>
            <w:rPr>
              <w:rFonts w:ascii="宋体" w:eastAsia="宋体" w:hAnsi="宋体"/>
              <w:sz w:val="32"/>
            </w:rPr>
            <w:fldChar w:fldCharType="separate"/>
          </w:r>
          <w:hyperlink w:anchor="_Toc42952211" w:history="1">
            <w:r>
              <w:rPr>
                <w:rStyle w:val="af4"/>
                <w:rFonts w:ascii="宋体" w:eastAsia="宋体" w:hAnsi="宋体"/>
              </w:rPr>
              <w:t>第一章</w:t>
            </w:r>
            <w:r>
              <w:rPr>
                <w:rStyle w:val="af4"/>
                <w:rFonts w:ascii="宋体" w:eastAsia="宋体" w:hAnsi="宋体"/>
              </w:rPr>
              <w:t xml:space="preserve"> </w:t>
            </w:r>
            <w:r>
              <w:rPr>
                <w:rStyle w:val="af4"/>
                <w:rFonts w:ascii="宋体" w:eastAsia="宋体" w:hAnsi="宋体"/>
              </w:rPr>
              <w:t>风险评估概述</w:t>
            </w:r>
            <w:r>
              <w:tab/>
            </w:r>
            <w:r>
              <w:fldChar w:fldCharType="begin"/>
            </w:r>
            <w:r>
              <w:instrText xml:space="preserve"> PAGEREF _Toc42952211 \h </w:instrText>
            </w:r>
            <w:r>
              <w:fldChar w:fldCharType="separate"/>
            </w:r>
            <w:r>
              <w:t>2</w:t>
            </w:r>
            <w:r>
              <w:fldChar w:fldCharType="end"/>
            </w:r>
          </w:hyperlink>
        </w:p>
        <w:p w14:paraId="74F720D9" w14:textId="77777777" w:rsidR="00883C54" w:rsidRDefault="007D136F">
          <w:pPr>
            <w:pStyle w:val="TOC2"/>
            <w:tabs>
              <w:tab w:val="right" w:leader="dot" w:pos="8302"/>
            </w:tabs>
            <w:ind w:left="480"/>
            <w:rPr>
              <w:rFonts w:asciiTheme="minorHAnsi" w:eastAsiaTheme="minorEastAsia" w:hAnsiTheme="minorHAnsi" w:cstheme="minorBidi"/>
              <w:kern w:val="2"/>
              <w:sz w:val="21"/>
              <w:szCs w:val="22"/>
            </w:rPr>
          </w:pPr>
          <w:hyperlink w:anchor="_Toc42952212" w:history="1">
            <w:r>
              <w:rPr>
                <w:rStyle w:val="af4"/>
                <w:rFonts w:ascii="宋体" w:eastAsia="宋体" w:hAnsi="宋体"/>
              </w:rPr>
              <w:t>一、风险评估工作组织</w:t>
            </w:r>
            <w:r>
              <w:tab/>
            </w:r>
            <w:r>
              <w:fldChar w:fldCharType="begin"/>
            </w:r>
            <w:r>
              <w:instrText xml:space="preserve"> PAGEREF _Toc42952212 \h </w:instrText>
            </w:r>
            <w:r>
              <w:fldChar w:fldCharType="separate"/>
            </w:r>
            <w:r>
              <w:t>2</w:t>
            </w:r>
            <w:r>
              <w:fldChar w:fldCharType="end"/>
            </w:r>
          </w:hyperlink>
        </w:p>
        <w:p w14:paraId="47B40C3C" w14:textId="77777777" w:rsidR="00883C54" w:rsidRDefault="007D136F">
          <w:pPr>
            <w:pStyle w:val="TOC2"/>
            <w:tabs>
              <w:tab w:val="right" w:leader="dot" w:pos="8302"/>
            </w:tabs>
            <w:ind w:left="480"/>
            <w:rPr>
              <w:rFonts w:asciiTheme="minorHAnsi" w:eastAsiaTheme="minorEastAsia" w:hAnsiTheme="minorHAnsi" w:cstheme="minorBidi"/>
              <w:kern w:val="2"/>
              <w:sz w:val="21"/>
              <w:szCs w:val="22"/>
            </w:rPr>
          </w:pPr>
          <w:hyperlink w:anchor="_Toc42952213" w:history="1">
            <w:r>
              <w:rPr>
                <w:rStyle w:val="af4"/>
                <w:rFonts w:ascii="宋体" w:eastAsia="宋体" w:hAnsi="宋体"/>
              </w:rPr>
              <w:t>二、风险评估范围</w:t>
            </w:r>
            <w:r>
              <w:tab/>
            </w:r>
            <w:r>
              <w:fldChar w:fldCharType="begin"/>
            </w:r>
            <w:r>
              <w:instrText xml:space="preserve"> PAGEREF _Toc42952213 \h </w:instrText>
            </w:r>
            <w:r>
              <w:fldChar w:fldCharType="separate"/>
            </w:r>
            <w:r>
              <w:t>2</w:t>
            </w:r>
            <w:r>
              <w:fldChar w:fldCharType="end"/>
            </w:r>
          </w:hyperlink>
        </w:p>
        <w:p w14:paraId="614626BF" w14:textId="77777777" w:rsidR="00883C54" w:rsidRDefault="007D136F">
          <w:pPr>
            <w:pStyle w:val="TOC2"/>
            <w:tabs>
              <w:tab w:val="right" w:leader="dot" w:pos="8302"/>
            </w:tabs>
            <w:ind w:left="480"/>
            <w:rPr>
              <w:rFonts w:asciiTheme="minorHAnsi" w:eastAsiaTheme="minorEastAsia" w:hAnsiTheme="minorHAnsi" w:cstheme="minorBidi"/>
              <w:kern w:val="2"/>
              <w:sz w:val="21"/>
              <w:szCs w:val="22"/>
            </w:rPr>
          </w:pPr>
          <w:hyperlink w:anchor="_Toc42952214" w:history="1">
            <w:r>
              <w:rPr>
                <w:rStyle w:val="af4"/>
                <w:rFonts w:ascii="宋体" w:eastAsia="宋体" w:hAnsi="宋体"/>
              </w:rPr>
              <w:t>三、风险评估方法</w:t>
            </w:r>
            <w:r>
              <w:rPr>
                <w:rStyle w:val="af4"/>
              </w:rPr>
              <w:t>和程序</w:t>
            </w:r>
            <w:r>
              <w:tab/>
            </w:r>
            <w:r>
              <w:fldChar w:fldCharType="begin"/>
            </w:r>
            <w:r>
              <w:instrText xml:space="preserve"> PAGEREF _Toc42952214 \h </w:instrText>
            </w:r>
            <w:r>
              <w:fldChar w:fldCharType="separate"/>
            </w:r>
            <w:r>
              <w:t>2</w:t>
            </w:r>
            <w:r>
              <w:fldChar w:fldCharType="end"/>
            </w:r>
          </w:hyperlink>
        </w:p>
        <w:p w14:paraId="5B495C21" w14:textId="77777777" w:rsidR="00883C54" w:rsidRDefault="007D136F">
          <w:pPr>
            <w:pStyle w:val="TOC1"/>
            <w:tabs>
              <w:tab w:val="right" w:leader="dot" w:pos="8302"/>
            </w:tabs>
            <w:rPr>
              <w:rFonts w:asciiTheme="minorHAnsi" w:eastAsiaTheme="minorEastAsia" w:hAnsiTheme="minorHAnsi" w:cstheme="minorBidi"/>
              <w:kern w:val="2"/>
              <w:sz w:val="21"/>
              <w:szCs w:val="22"/>
            </w:rPr>
          </w:pPr>
          <w:hyperlink w:anchor="_Toc42952215" w:history="1">
            <w:r>
              <w:rPr>
                <w:rStyle w:val="af4"/>
                <w:rFonts w:ascii="宋体" w:eastAsia="宋体" w:hAnsi="宋体"/>
              </w:rPr>
              <w:t>第二章</w:t>
            </w:r>
            <w:r>
              <w:rPr>
                <w:rStyle w:val="af4"/>
                <w:rFonts w:ascii="宋体" w:eastAsia="宋体" w:hAnsi="宋体"/>
              </w:rPr>
              <w:t xml:space="preserve"> </w:t>
            </w:r>
            <w:r>
              <w:rPr>
                <w:rStyle w:val="af4"/>
                <w:rFonts w:ascii="宋体" w:eastAsia="宋体" w:hAnsi="宋体"/>
              </w:rPr>
              <w:t>风险评估结论及完善建议</w:t>
            </w:r>
            <w:r>
              <w:tab/>
            </w:r>
            <w:r>
              <w:fldChar w:fldCharType="begin"/>
            </w:r>
            <w:r>
              <w:instrText xml:space="preserve"> PAGEREF _Toc42952215 \h </w:instrText>
            </w:r>
            <w:r>
              <w:fldChar w:fldCharType="separate"/>
            </w:r>
            <w:r>
              <w:t>4</w:t>
            </w:r>
            <w:r>
              <w:fldChar w:fldCharType="end"/>
            </w:r>
          </w:hyperlink>
        </w:p>
        <w:p w14:paraId="286049A9" w14:textId="77777777" w:rsidR="00883C54" w:rsidRDefault="007D136F">
          <w:pPr>
            <w:pStyle w:val="TOC2"/>
            <w:tabs>
              <w:tab w:val="right" w:leader="dot" w:pos="8302"/>
            </w:tabs>
            <w:ind w:left="480"/>
            <w:rPr>
              <w:rFonts w:asciiTheme="minorHAnsi" w:eastAsiaTheme="minorEastAsia" w:hAnsiTheme="minorHAnsi" w:cstheme="minorBidi"/>
              <w:kern w:val="2"/>
              <w:sz w:val="21"/>
              <w:szCs w:val="22"/>
            </w:rPr>
          </w:pPr>
          <w:hyperlink w:anchor="_Toc42952216" w:history="1">
            <w:r>
              <w:rPr>
                <w:rStyle w:val="af4"/>
                <w:rFonts w:ascii="宋体" w:eastAsia="宋体" w:hAnsi="宋体"/>
              </w:rPr>
              <w:t>业务层面</w:t>
            </w:r>
            <w:r>
              <w:tab/>
            </w:r>
            <w:r>
              <w:fldChar w:fldCharType="begin"/>
            </w:r>
            <w:r>
              <w:instrText xml:space="preserve"> PAGEREF _Toc42952216 \h </w:instrText>
            </w:r>
            <w:r>
              <w:fldChar w:fldCharType="separate"/>
            </w:r>
            <w:r>
              <w:t>4</w:t>
            </w:r>
            <w:r>
              <w:fldChar w:fldCharType="end"/>
            </w:r>
          </w:hyperlink>
        </w:p>
        <w:p w14:paraId="10F6B2E9" w14:textId="77777777" w:rsidR="00883C54" w:rsidRDefault="007D136F">
          <w:pPr>
            <w:pStyle w:val="TOC2"/>
            <w:tabs>
              <w:tab w:val="right" w:leader="dot" w:pos="8296"/>
            </w:tabs>
            <w:spacing w:beforeLines="100" w:before="312" w:afterLines="100" w:after="312" w:line="480" w:lineRule="auto"/>
            <w:ind w:left="480" w:firstLine="640"/>
            <w:jc w:val="both"/>
            <w:rPr>
              <w:rFonts w:ascii="宋体" w:eastAsia="宋体" w:hAnsi="宋体"/>
              <w:lang w:val="zh-CN"/>
            </w:rPr>
          </w:pPr>
          <w:r>
            <w:rPr>
              <w:rFonts w:ascii="宋体" w:eastAsia="宋体" w:hAnsi="宋体"/>
              <w:bCs/>
              <w:sz w:val="32"/>
              <w:lang w:val="zh-CN"/>
            </w:rPr>
            <w:fldChar w:fldCharType="end"/>
          </w:r>
        </w:p>
      </w:sdtContent>
    </w:sdt>
    <w:p w14:paraId="633A584E" w14:textId="77777777" w:rsidR="00883C54" w:rsidRDefault="00883C54">
      <w:pPr>
        <w:pStyle w:val="1"/>
        <w:tabs>
          <w:tab w:val="left" w:pos="709"/>
        </w:tabs>
        <w:jc w:val="both"/>
        <w:rPr>
          <w:rFonts w:ascii="宋体" w:eastAsia="宋体" w:hAnsi="宋体"/>
        </w:rPr>
        <w:sectPr w:rsidR="00883C54">
          <w:headerReference w:type="default" r:id="rId14"/>
          <w:footerReference w:type="default" r:id="rId15"/>
          <w:pgSz w:w="11906" w:h="16838"/>
          <w:pgMar w:top="1440" w:right="1797" w:bottom="1440" w:left="1797" w:header="851" w:footer="992" w:gutter="0"/>
          <w:cols w:space="720"/>
          <w:docGrid w:type="lines" w:linePitch="312"/>
        </w:sectPr>
      </w:pPr>
      <w:bookmarkStart w:id="0" w:name="_Toc448325343"/>
    </w:p>
    <w:p w14:paraId="505A8300" w14:textId="77777777" w:rsidR="00883C54" w:rsidRDefault="007D136F">
      <w:pPr>
        <w:pStyle w:val="1"/>
        <w:spacing w:before="0" w:after="0" w:line="360" w:lineRule="auto"/>
        <w:rPr>
          <w:rFonts w:ascii="宋体" w:eastAsia="宋体" w:hAnsi="宋体"/>
          <w:sz w:val="32"/>
          <w:szCs w:val="32"/>
        </w:rPr>
      </w:pPr>
      <w:bookmarkStart w:id="1" w:name="_Toc42952211"/>
      <w:r>
        <w:rPr>
          <w:rFonts w:ascii="宋体" w:eastAsia="宋体" w:hAnsi="宋体"/>
          <w:sz w:val="32"/>
          <w:szCs w:val="32"/>
        </w:rPr>
        <w:lastRenderedPageBreak/>
        <w:t>第一章</w:t>
      </w:r>
      <w:r>
        <w:rPr>
          <w:rFonts w:ascii="宋体" w:eastAsia="宋体" w:hAnsi="宋体"/>
          <w:sz w:val="32"/>
          <w:szCs w:val="32"/>
        </w:rPr>
        <w:t xml:space="preserve"> </w:t>
      </w:r>
      <w:r>
        <w:rPr>
          <w:rFonts w:ascii="宋体" w:eastAsia="宋体" w:hAnsi="宋体" w:hint="eastAsia"/>
          <w:sz w:val="32"/>
          <w:szCs w:val="32"/>
        </w:rPr>
        <w:t>风险评估概述</w:t>
      </w:r>
      <w:bookmarkEnd w:id="0"/>
      <w:bookmarkEnd w:id="1"/>
    </w:p>
    <w:p w14:paraId="3B606899" w14:textId="77777777" w:rsidR="00883C54" w:rsidRDefault="007D136F">
      <w:pPr>
        <w:pStyle w:val="2"/>
        <w:spacing w:before="0" w:after="0" w:line="360" w:lineRule="auto"/>
        <w:jc w:val="both"/>
        <w:rPr>
          <w:rFonts w:ascii="宋体" w:eastAsia="宋体" w:hAnsi="宋体"/>
          <w:sz w:val="28"/>
          <w:szCs w:val="28"/>
        </w:rPr>
      </w:pPr>
      <w:bookmarkStart w:id="2" w:name="_Toc448325344"/>
      <w:bookmarkStart w:id="3" w:name="_Toc42952212"/>
      <w:r>
        <w:rPr>
          <w:rFonts w:ascii="宋体" w:eastAsia="宋体" w:hAnsi="宋体" w:hint="eastAsia"/>
          <w:sz w:val="28"/>
          <w:szCs w:val="28"/>
        </w:rPr>
        <w:t>一、风险评估工作组织</w:t>
      </w:r>
      <w:bookmarkEnd w:id="2"/>
      <w:bookmarkEnd w:id="3"/>
    </w:p>
    <w:p w14:paraId="7C99880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Chars="200" w:firstLine="560"/>
        <w:jc w:val="both"/>
        <w:rPr>
          <w:rFonts w:ascii="宋体" w:hAnsi="宋体" w:cs="仿宋"/>
          <w:bCs/>
          <w:sz w:val="28"/>
          <w:szCs w:val="28"/>
        </w:rPr>
      </w:pPr>
      <w:r>
        <w:rPr>
          <w:rFonts w:ascii="宋体" w:hAnsi="宋体" w:cs="仿宋" w:hint="eastAsia"/>
          <w:bCs/>
          <w:sz w:val="28"/>
          <w:szCs w:val="28"/>
        </w:rPr>
        <w:t>本</w:t>
      </w:r>
      <w:r>
        <w:rPr>
          <w:rFonts w:ascii="宋体" w:hAnsi="宋体" w:cs="仿宋"/>
          <w:bCs/>
          <w:sz w:val="28"/>
          <w:szCs w:val="28"/>
        </w:rPr>
        <w:t>次内控</w:t>
      </w:r>
      <w:r>
        <w:rPr>
          <w:rFonts w:ascii="宋体" w:hAnsi="宋体" w:cs="仿宋" w:hint="eastAsia"/>
          <w:bCs/>
          <w:sz w:val="28"/>
          <w:szCs w:val="28"/>
        </w:rPr>
        <w:t>评估</w:t>
      </w:r>
      <w:r>
        <w:rPr>
          <w:rFonts w:ascii="宋体" w:hAnsi="宋体" w:cs="仿宋"/>
          <w:bCs/>
          <w:sz w:val="28"/>
          <w:szCs w:val="28"/>
        </w:rPr>
        <w:t>工作</w:t>
      </w:r>
      <w:r>
        <w:rPr>
          <w:rFonts w:ascii="宋体" w:hAnsi="宋体" w:cs="仿宋" w:hint="eastAsia"/>
          <w:bCs/>
          <w:sz w:val="28"/>
          <w:szCs w:val="28"/>
        </w:rPr>
        <w:t>是</w:t>
      </w:r>
      <w:r>
        <w:rPr>
          <w:rFonts w:ascii="宋体" w:hAnsi="宋体" w:cs="仿宋"/>
          <w:bCs/>
          <w:sz w:val="28"/>
          <w:szCs w:val="28"/>
        </w:rPr>
        <w:t>在</w:t>
      </w:r>
      <w:r>
        <w:rPr>
          <w:rFonts w:ascii="宋体" w:hAnsi="宋体" w:cs="仿宋" w:hint="eastAsia"/>
          <w:bCs/>
          <w:sz w:val="28"/>
          <w:szCs w:val="28"/>
        </w:rPr>
        <w:t>本单位内部控制工作小组领导下</w:t>
      </w:r>
      <w:r>
        <w:rPr>
          <w:rFonts w:ascii="宋体" w:hAnsi="宋体" w:cs="仿宋"/>
          <w:bCs/>
          <w:sz w:val="28"/>
          <w:szCs w:val="28"/>
        </w:rPr>
        <w:t>，</w:t>
      </w:r>
      <w:r>
        <w:rPr>
          <w:rFonts w:ascii="宋体" w:hAnsi="宋体" w:cs="仿宋" w:hint="eastAsia"/>
          <w:bCs/>
          <w:sz w:val="28"/>
          <w:szCs w:val="28"/>
        </w:rPr>
        <w:t>经办人员在第三方机构协助下实施开展</w:t>
      </w:r>
      <w:r>
        <w:rPr>
          <w:rFonts w:ascii="宋体" w:hAnsi="宋体" w:cs="仿宋"/>
          <w:bCs/>
          <w:sz w:val="28"/>
          <w:szCs w:val="28"/>
        </w:rPr>
        <w:t>。</w:t>
      </w:r>
    </w:p>
    <w:p w14:paraId="290360B6" w14:textId="77777777" w:rsidR="00883C54" w:rsidRDefault="007D136F">
      <w:pPr>
        <w:pStyle w:val="2"/>
        <w:spacing w:before="0" w:after="0" w:line="360" w:lineRule="auto"/>
        <w:jc w:val="both"/>
        <w:rPr>
          <w:rFonts w:ascii="宋体" w:eastAsia="宋体" w:hAnsi="宋体"/>
          <w:sz w:val="28"/>
          <w:szCs w:val="28"/>
        </w:rPr>
      </w:pPr>
      <w:bookmarkStart w:id="4" w:name="_Toc339031905"/>
      <w:bookmarkStart w:id="5" w:name="_Toc42952213"/>
      <w:r>
        <w:rPr>
          <w:rFonts w:ascii="宋体" w:eastAsia="宋体" w:hAnsi="宋体" w:hint="eastAsia"/>
          <w:sz w:val="28"/>
          <w:szCs w:val="28"/>
        </w:rPr>
        <w:t>二、风险评估范围</w:t>
      </w:r>
      <w:bookmarkEnd w:id="4"/>
      <w:bookmarkEnd w:id="5"/>
    </w:p>
    <w:p w14:paraId="01A1F193"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依据《行政事业单位内部控制规范（试行）》的相关规定，本次对本单位预算管理、收支管理、政府采购管理、资产管理、项目管理、合同管理六项经济活动以及单位层面进行内控管理风险问题全面总结。</w:t>
      </w:r>
    </w:p>
    <w:p w14:paraId="3CBD4482" w14:textId="77777777" w:rsidR="00883C54" w:rsidRDefault="007D136F">
      <w:pPr>
        <w:pStyle w:val="2"/>
        <w:spacing w:before="0" w:after="0" w:line="360" w:lineRule="auto"/>
        <w:jc w:val="both"/>
        <w:rPr>
          <w:sz w:val="28"/>
          <w:szCs w:val="28"/>
        </w:rPr>
      </w:pPr>
      <w:bookmarkStart w:id="6" w:name="_Toc448325346"/>
      <w:bookmarkStart w:id="7" w:name="_Toc42952214"/>
      <w:r>
        <w:rPr>
          <w:rFonts w:ascii="宋体" w:eastAsia="宋体" w:hAnsi="宋体" w:hint="eastAsia"/>
          <w:sz w:val="28"/>
          <w:szCs w:val="28"/>
        </w:rPr>
        <w:t>三、</w:t>
      </w:r>
      <w:bookmarkEnd w:id="6"/>
      <w:r>
        <w:rPr>
          <w:rFonts w:ascii="宋体" w:eastAsia="宋体" w:hAnsi="宋体" w:hint="eastAsia"/>
          <w:sz w:val="28"/>
          <w:szCs w:val="28"/>
        </w:rPr>
        <w:t>风险评估方法</w:t>
      </w:r>
      <w:r>
        <w:rPr>
          <w:rFonts w:hint="eastAsia"/>
          <w:sz w:val="28"/>
          <w:szCs w:val="28"/>
        </w:rPr>
        <w:t>和程序</w:t>
      </w:r>
      <w:bookmarkEnd w:id="7"/>
    </w:p>
    <w:p w14:paraId="43F9FA3B" w14:textId="77777777" w:rsidR="00883C54" w:rsidRDefault="007D136F">
      <w:pPr>
        <w:spacing w:line="360" w:lineRule="auto"/>
        <w:jc w:val="both"/>
        <w:rPr>
          <w:rFonts w:ascii="宋体" w:hAnsi="宋体"/>
          <w:sz w:val="28"/>
          <w:szCs w:val="28"/>
        </w:rPr>
      </w:pPr>
      <w:r>
        <w:rPr>
          <w:rFonts w:ascii="宋体" w:hAnsi="宋体" w:hint="eastAsia"/>
          <w:sz w:val="28"/>
          <w:szCs w:val="28"/>
        </w:rPr>
        <w:t>（一）风险评估方法</w:t>
      </w:r>
    </w:p>
    <w:p w14:paraId="680187EB" w14:textId="77777777" w:rsidR="00883C54" w:rsidRDefault="007D136F">
      <w:pPr>
        <w:spacing w:line="360" w:lineRule="auto"/>
        <w:ind w:firstLineChars="200" w:firstLine="560"/>
        <w:jc w:val="both"/>
        <w:rPr>
          <w:rFonts w:ascii="宋体" w:hAnsi="宋体"/>
          <w:sz w:val="28"/>
          <w:szCs w:val="28"/>
        </w:rPr>
      </w:pPr>
      <w:r>
        <w:rPr>
          <w:rFonts w:ascii="宋体" w:hAnsi="宋体"/>
          <w:sz w:val="28"/>
          <w:szCs w:val="28"/>
        </w:rPr>
        <w:t>1.</w:t>
      </w:r>
      <w:r>
        <w:rPr>
          <w:rFonts w:ascii="宋体" w:hAnsi="宋体" w:hint="eastAsia"/>
          <w:sz w:val="28"/>
          <w:szCs w:val="28"/>
        </w:rPr>
        <w:t>资料分析法</w:t>
      </w:r>
    </w:p>
    <w:p w14:paraId="1DC81E16"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搜集内部管理制度、业务流程及相关资料，根据不同业务领域进行归类整理，分析比对单位内部文件的完整性。</w:t>
      </w:r>
    </w:p>
    <w:p w14:paraId="2136F20F" w14:textId="77777777" w:rsidR="00883C54" w:rsidRDefault="007D136F">
      <w:pPr>
        <w:spacing w:line="360" w:lineRule="auto"/>
        <w:ind w:firstLineChars="200" w:firstLine="560"/>
        <w:jc w:val="both"/>
        <w:rPr>
          <w:rFonts w:ascii="宋体" w:hAnsi="宋体"/>
          <w:sz w:val="28"/>
          <w:szCs w:val="28"/>
        </w:rPr>
      </w:pPr>
      <w:r>
        <w:rPr>
          <w:rFonts w:ascii="宋体" w:hAnsi="宋体"/>
          <w:sz w:val="28"/>
          <w:szCs w:val="28"/>
        </w:rPr>
        <w:t>2.</w:t>
      </w:r>
      <w:r>
        <w:rPr>
          <w:rFonts w:ascii="宋体" w:hAnsi="宋体" w:hint="eastAsia"/>
          <w:sz w:val="28"/>
          <w:szCs w:val="28"/>
        </w:rPr>
        <w:t>专题讨论法</w:t>
      </w:r>
    </w:p>
    <w:p w14:paraId="53F0E88A"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通过召集与业务流程相关的管理人员就业务流程的相关问题进行讨论。</w:t>
      </w:r>
    </w:p>
    <w:p w14:paraId="5C15CDB9" w14:textId="77777777" w:rsidR="00883C54" w:rsidRDefault="007D136F">
      <w:pPr>
        <w:spacing w:line="360" w:lineRule="auto"/>
        <w:jc w:val="both"/>
        <w:rPr>
          <w:rFonts w:ascii="宋体" w:hAnsi="宋体"/>
          <w:sz w:val="28"/>
          <w:szCs w:val="28"/>
        </w:rPr>
      </w:pPr>
      <w:r>
        <w:rPr>
          <w:rFonts w:ascii="宋体" w:hAnsi="宋体" w:hint="eastAsia"/>
          <w:sz w:val="28"/>
          <w:szCs w:val="28"/>
        </w:rPr>
        <w:t>（二）风险评估程序</w:t>
      </w:r>
    </w:p>
    <w:p w14:paraId="4B821902"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本次内控风险评估主要包括</w:t>
      </w:r>
      <w:r>
        <w:rPr>
          <w:rFonts w:ascii="宋体" w:hAnsi="宋体" w:cs="仿宋"/>
          <w:bCs/>
          <w:sz w:val="28"/>
          <w:szCs w:val="28"/>
        </w:rPr>
        <w:t>评估</w:t>
      </w:r>
      <w:r>
        <w:rPr>
          <w:rFonts w:ascii="宋体" w:hAnsi="宋体" w:cs="仿宋" w:hint="eastAsia"/>
          <w:bCs/>
          <w:sz w:val="28"/>
          <w:szCs w:val="28"/>
        </w:rPr>
        <w:t>准备、</w:t>
      </w:r>
      <w:r>
        <w:rPr>
          <w:rFonts w:ascii="宋体" w:hAnsi="宋体" w:cs="仿宋"/>
          <w:bCs/>
          <w:sz w:val="28"/>
          <w:szCs w:val="28"/>
        </w:rPr>
        <w:t>评估</w:t>
      </w:r>
      <w:r>
        <w:rPr>
          <w:rFonts w:ascii="宋体" w:hAnsi="宋体" w:cs="仿宋" w:hint="eastAsia"/>
          <w:bCs/>
          <w:sz w:val="28"/>
          <w:szCs w:val="28"/>
        </w:rPr>
        <w:t>实施和</w:t>
      </w:r>
      <w:r>
        <w:rPr>
          <w:rFonts w:ascii="宋体" w:hAnsi="宋体" w:cs="仿宋"/>
          <w:bCs/>
          <w:sz w:val="28"/>
          <w:szCs w:val="28"/>
        </w:rPr>
        <w:t>风险评估报告</w:t>
      </w:r>
      <w:r>
        <w:rPr>
          <w:rFonts w:ascii="宋体" w:hAnsi="宋体" w:cs="仿宋" w:hint="eastAsia"/>
          <w:bCs/>
          <w:sz w:val="28"/>
          <w:szCs w:val="28"/>
        </w:rPr>
        <w:t>拟制三个阶段。</w:t>
      </w:r>
    </w:p>
    <w:p w14:paraId="590643A8"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1</w:t>
      </w:r>
      <w:r>
        <w:rPr>
          <w:rFonts w:ascii="宋体" w:hAnsi="宋体" w:cs="仿宋" w:hint="eastAsia"/>
          <w:bCs/>
          <w:sz w:val="28"/>
          <w:szCs w:val="28"/>
        </w:rPr>
        <w:t>、评估准备</w:t>
      </w:r>
    </w:p>
    <w:p w14:paraId="605E6D61"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收集单位内部现行有效的内部管理制度、业务流程及相关资料。</w:t>
      </w:r>
    </w:p>
    <w:p w14:paraId="21970AEA"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2</w:t>
      </w:r>
      <w:r>
        <w:rPr>
          <w:rFonts w:ascii="宋体" w:hAnsi="宋体" w:cs="仿宋" w:hint="eastAsia"/>
          <w:bCs/>
          <w:sz w:val="28"/>
          <w:szCs w:val="28"/>
        </w:rPr>
        <w:t>、评估实施</w:t>
      </w:r>
    </w:p>
    <w:p w14:paraId="3A8A8355" w14:textId="77777777" w:rsidR="00883C54" w:rsidRDefault="007D136F">
      <w:pPr>
        <w:spacing w:line="360" w:lineRule="auto"/>
        <w:ind w:leftChars="50" w:left="120" w:firstLineChars="150" w:firstLine="420"/>
        <w:jc w:val="both"/>
        <w:rPr>
          <w:rFonts w:ascii="宋体" w:hAnsi="宋体" w:cs="仿宋"/>
          <w:bCs/>
          <w:sz w:val="28"/>
          <w:szCs w:val="28"/>
        </w:rPr>
      </w:pPr>
      <w:r>
        <w:rPr>
          <w:rFonts w:ascii="宋体" w:hAnsi="宋体" w:cs="仿宋" w:hint="eastAsia"/>
          <w:bCs/>
          <w:sz w:val="28"/>
          <w:szCs w:val="28"/>
        </w:rPr>
        <w:lastRenderedPageBreak/>
        <w:t>现有制度、流程与六大模块的外部政策对标，找出各业务层面可能存在风险点的地方，制定防控措施；</w:t>
      </w:r>
    </w:p>
    <w:p w14:paraId="6EDD22ED"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3</w:t>
      </w:r>
      <w:r>
        <w:rPr>
          <w:rFonts w:ascii="宋体" w:hAnsi="宋体" w:cs="仿宋" w:hint="eastAsia"/>
          <w:bCs/>
          <w:sz w:val="28"/>
          <w:szCs w:val="28"/>
        </w:rPr>
        <w:t>、评估报告拟制</w:t>
      </w:r>
    </w:p>
    <w:p w14:paraId="3491D024" w14:textId="77777777" w:rsidR="00883C54" w:rsidRDefault="007D136F">
      <w:pPr>
        <w:spacing w:line="360" w:lineRule="auto"/>
        <w:ind w:firstLineChars="200" w:firstLine="560"/>
        <w:jc w:val="both"/>
        <w:rPr>
          <w:rFonts w:ascii="宋体" w:hAnsi="宋体" w:cs="仿宋"/>
          <w:bCs/>
          <w:sz w:val="28"/>
          <w:szCs w:val="28"/>
        </w:rPr>
        <w:sectPr w:rsidR="00883C54">
          <w:pgSz w:w="11906" w:h="16838"/>
          <w:pgMar w:top="1440" w:right="1797" w:bottom="1440" w:left="1797" w:header="851" w:footer="992" w:gutter="0"/>
          <w:cols w:space="720"/>
          <w:docGrid w:type="lines" w:linePitch="381"/>
        </w:sectPr>
      </w:pPr>
      <w:r>
        <w:rPr>
          <w:rFonts w:ascii="宋体" w:hAnsi="宋体" w:cs="仿宋" w:hint="eastAsia"/>
          <w:bCs/>
          <w:sz w:val="28"/>
          <w:szCs w:val="28"/>
        </w:rPr>
        <w:t>汇总总结出的内部控制缺陷，分析原因，提出合理建议，综合判断内部控制体系的建设情况，完成内部控制风险评估报告。</w:t>
      </w:r>
      <w:bookmarkStart w:id="8" w:name="_Toc448325352"/>
    </w:p>
    <w:p w14:paraId="58EABA3C" w14:textId="77777777" w:rsidR="00883C54" w:rsidRDefault="007D136F">
      <w:pPr>
        <w:pStyle w:val="1"/>
        <w:spacing w:before="0" w:after="0" w:line="360" w:lineRule="auto"/>
        <w:rPr>
          <w:rFonts w:ascii="宋体" w:eastAsia="宋体" w:hAnsi="宋体"/>
          <w:sz w:val="32"/>
          <w:szCs w:val="32"/>
        </w:rPr>
      </w:pPr>
      <w:bookmarkStart w:id="9" w:name="_Toc42952215"/>
      <w:r>
        <w:rPr>
          <w:rFonts w:ascii="宋体" w:eastAsia="宋体" w:hAnsi="宋体" w:hint="eastAsia"/>
          <w:sz w:val="32"/>
          <w:szCs w:val="32"/>
        </w:rPr>
        <w:lastRenderedPageBreak/>
        <w:t>第二章</w:t>
      </w:r>
      <w:r>
        <w:rPr>
          <w:rFonts w:ascii="宋体" w:eastAsia="宋体" w:hAnsi="宋体"/>
          <w:sz w:val="32"/>
          <w:szCs w:val="32"/>
        </w:rPr>
        <w:t xml:space="preserve"> </w:t>
      </w:r>
      <w:r>
        <w:rPr>
          <w:rFonts w:ascii="宋体" w:eastAsia="宋体" w:hAnsi="宋体" w:hint="eastAsia"/>
          <w:sz w:val="32"/>
          <w:szCs w:val="32"/>
        </w:rPr>
        <w:t>风险评估结论</w:t>
      </w:r>
      <w:bookmarkEnd w:id="8"/>
      <w:r>
        <w:rPr>
          <w:rFonts w:ascii="宋体" w:eastAsia="宋体" w:hAnsi="宋体" w:hint="eastAsia"/>
          <w:sz w:val="32"/>
          <w:szCs w:val="32"/>
        </w:rPr>
        <w:t>及完善建议</w:t>
      </w:r>
      <w:bookmarkEnd w:id="9"/>
    </w:p>
    <w:p w14:paraId="3FF782BD" w14:textId="77777777" w:rsidR="00883C54" w:rsidRDefault="007D136F">
      <w:pPr>
        <w:spacing w:line="360" w:lineRule="auto"/>
        <w:ind w:firstLineChars="200" w:firstLine="560"/>
        <w:jc w:val="both"/>
        <w:rPr>
          <w:rFonts w:ascii="宋体" w:hAnsi="宋体" w:cs="仿宋"/>
          <w:bCs/>
          <w:sz w:val="28"/>
          <w:szCs w:val="28"/>
        </w:rPr>
      </w:pPr>
      <w:r>
        <w:rPr>
          <w:rFonts w:ascii="宋体" w:hAnsi="宋体" w:cs="仿宋" w:hint="eastAsia"/>
          <w:bCs/>
          <w:sz w:val="28"/>
          <w:szCs w:val="28"/>
        </w:rPr>
        <w:t>通过目前本单位的资料进行分析，本单位已按照内控规范的要求基本建立起了内部控制体系，但在流程执行中应当注意以下问题，具体如下。</w:t>
      </w:r>
      <w:bookmarkStart w:id="10" w:name="_Toc527488845"/>
    </w:p>
    <w:p w14:paraId="155F5891" w14:textId="77777777" w:rsidR="00883C54" w:rsidRDefault="007D136F">
      <w:pPr>
        <w:pStyle w:val="2"/>
        <w:spacing w:before="0" w:after="0" w:line="360" w:lineRule="auto"/>
        <w:jc w:val="both"/>
        <w:rPr>
          <w:rFonts w:ascii="宋体" w:eastAsia="宋体" w:hAnsi="宋体"/>
          <w:sz w:val="28"/>
          <w:szCs w:val="28"/>
        </w:rPr>
      </w:pPr>
      <w:bookmarkStart w:id="11" w:name="_Toc42952216"/>
      <w:bookmarkEnd w:id="10"/>
      <w:r>
        <w:rPr>
          <w:rFonts w:ascii="宋体" w:eastAsia="宋体" w:hAnsi="宋体" w:hint="eastAsia"/>
          <w:sz w:val="28"/>
          <w:szCs w:val="28"/>
        </w:rPr>
        <w:t>业务层面</w:t>
      </w:r>
      <w:bookmarkEnd w:id="11"/>
    </w:p>
    <w:p w14:paraId="05D5663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t>（一）预算业务领域：</w:t>
      </w:r>
    </w:p>
    <w:tbl>
      <w:tblPr>
        <w:tblStyle w:val="af3"/>
        <w:tblW w:w="4999" w:type="pct"/>
        <w:tblLook w:val="04A0" w:firstRow="1" w:lastRow="0" w:firstColumn="1" w:lastColumn="0" w:noHBand="0" w:noVBand="1"/>
      </w:tblPr>
      <w:tblGrid>
        <w:gridCol w:w="1364"/>
        <w:gridCol w:w="2954"/>
        <w:gridCol w:w="4202"/>
      </w:tblGrid>
      <w:tr w:rsidR="00883C54" w14:paraId="46A73CE8" w14:textId="77777777">
        <w:tc>
          <w:tcPr>
            <w:tcW w:w="800" w:type="pct"/>
          </w:tcPr>
          <w:p w14:paraId="66BF97B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5F2BF66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34980291"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43A1B313" w14:textId="77777777">
        <w:trPr>
          <w:trHeight w:val="2798"/>
        </w:trPr>
        <w:tc>
          <w:tcPr>
            <w:tcW w:w="800" w:type="pct"/>
          </w:tcPr>
          <w:p w14:paraId="18D86E05"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42017235"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4C874487"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7C5CD0B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年度预算编制及审批</w:t>
            </w:r>
          </w:p>
        </w:tc>
        <w:tc>
          <w:tcPr>
            <w:tcW w:w="1733" w:type="pct"/>
          </w:tcPr>
          <w:p w14:paraId="0FC12A33"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p>
          <w:p w14:paraId="007C8EE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如果预算相关部门和岗位缺乏有效沟通，可能导致单位内部各部门之间在预算管理上工作不协调、相互推诿责任，可能导致预算数据不合理、不准确、不完整，进而降低预算管理效率。</w:t>
            </w:r>
          </w:p>
        </w:tc>
        <w:tc>
          <w:tcPr>
            <w:tcW w:w="2466" w:type="pct"/>
          </w:tcPr>
          <w:p w14:paraId="45837D2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经办岗在提出预算建议规划数时，相关部门之间要统筹兼顾、保证重点和勤俭节约的原则，在足额保证人员经费和单位正常运转的前提下，尽量做到优化支出结构，合理安排单位发展支出。</w:t>
            </w:r>
          </w:p>
          <w:p w14:paraId="6065FCD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年度部门预算建议规划数经单位内部有效审核、审议后逐级上报审批。</w:t>
            </w:r>
          </w:p>
        </w:tc>
      </w:tr>
      <w:tr w:rsidR="00883C54" w14:paraId="371A99A9" w14:textId="77777777">
        <w:trPr>
          <w:trHeight w:val="1676"/>
        </w:trPr>
        <w:tc>
          <w:tcPr>
            <w:tcW w:w="800" w:type="pct"/>
          </w:tcPr>
          <w:p w14:paraId="2D5FBA1E"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4C73DF0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预算内部分解下达</w:t>
            </w:r>
          </w:p>
        </w:tc>
        <w:tc>
          <w:tcPr>
            <w:tcW w:w="1733" w:type="pct"/>
          </w:tcPr>
          <w:p w14:paraId="1440BA8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如果预算控制数的分解平衡不合理，批复下达程序不规范，可能导致预算权威性缺失，不能得到有效执行。</w:t>
            </w:r>
          </w:p>
        </w:tc>
        <w:tc>
          <w:tcPr>
            <w:tcW w:w="2466" w:type="pct"/>
          </w:tcPr>
          <w:p w14:paraId="123FDD54"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单位收到同级财政部门或上级主管部门下达的年度预算后，由财务根据批复预算和预算绩效目标拟定内部预算分解方案，经单位内部有效审核、审议后执行。</w:t>
            </w:r>
          </w:p>
        </w:tc>
      </w:tr>
      <w:tr w:rsidR="00883C54" w14:paraId="7719D4D3" w14:textId="77777777">
        <w:trPr>
          <w:trHeight w:val="1979"/>
        </w:trPr>
        <w:tc>
          <w:tcPr>
            <w:tcW w:w="800" w:type="pct"/>
          </w:tcPr>
          <w:p w14:paraId="1285C070"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30344C9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预算执行与分析</w:t>
            </w:r>
          </w:p>
        </w:tc>
        <w:tc>
          <w:tcPr>
            <w:tcW w:w="1733" w:type="pct"/>
          </w:tcPr>
          <w:p w14:paraId="616A6C9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如果预算执行中各自为政，部门间沟通协调不到位，财务人员不了解项目进度，业务人员不了解预算执行情况，未建立预算执行分析机制，可能导致预算执行缓慢或偏差。</w:t>
            </w:r>
          </w:p>
        </w:tc>
        <w:tc>
          <w:tcPr>
            <w:tcW w:w="2466" w:type="pct"/>
          </w:tcPr>
          <w:p w14:paraId="4AD561E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相关部门根据财务反馈的预算执行情况报告，随时了解预算执行的实际情况，采取措施调整预算执行进度，防止预算执行进度偏快或偏慢，能及时发现问题并予以纠正。</w:t>
            </w:r>
          </w:p>
        </w:tc>
      </w:tr>
      <w:tr w:rsidR="00883C54" w14:paraId="04F0400A" w14:textId="77777777">
        <w:tc>
          <w:tcPr>
            <w:tcW w:w="800" w:type="pct"/>
          </w:tcPr>
          <w:p w14:paraId="350690CC"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57EDBC8C"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566729E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预算绩效评价</w:t>
            </w:r>
          </w:p>
        </w:tc>
        <w:tc>
          <w:tcPr>
            <w:tcW w:w="1733" w:type="pct"/>
          </w:tcPr>
          <w:p w14:paraId="4EBFD4C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如果预算考评机制不健全，单位仅将绩效评价应用于年终决算之后，而未在预算管理的整个过程中</w:t>
            </w:r>
            <w:r>
              <w:rPr>
                <w:rFonts w:ascii="宋体" w:hAnsi="宋体" w:cs="仿宋" w:hint="eastAsia"/>
                <w:bCs/>
                <w:szCs w:val="28"/>
              </w:rPr>
              <w:lastRenderedPageBreak/>
              <w:t>充分利用绩效评价来促进预算管理工作的改进，可能导致对预算执行情况的评价存在不规范、不科学的地方。</w:t>
            </w:r>
          </w:p>
        </w:tc>
        <w:tc>
          <w:tcPr>
            <w:tcW w:w="2466" w:type="pct"/>
          </w:tcPr>
          <w:p w14:paraId="305340F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lastRenderedPageBreak/>
              <w:t>单位要在预算执行过程中进行全过程的动态考核，针对财政资金的使用情况，利用预算资金的使用效益、资金利用率等多种财务指标进行考核，及时对</w:t>
            </w:r>
            <w:r>
              <w:rPr>
                <w:rFonts w:ascii="宋体" w:hAnsi="宋体" w:cs="仿宋" w:hint="eastAsia"/>
                <w:bCs/>
                <w:szCs w:val="28"/>
              </w:rPr>
              <w:lastRenderedPageBreak/>
              <w:t>财政资金的使用情况进行反馈</w:t>
            </w:r>
            <w:r>
              <w:rPr>
                <w:rFonts w:ascii="宋体" w:hAnsi="宋体" w:cs="仿宋" w:hint="eastAsia"/>
                <w:bCs/>
                <w:szCs w:val="28"/>
              </w:rPr>
              <w:t>和提升，保证财政资金的使用和预算目标一致。</w:t>
            </w:r>
          </w:p>
        </w:tc>
      </w:tr>
    </w:tbl>
    <w:p w14:paraId="0FD5803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lastRenderedPageBreak/>
        <w:t>（二）收支业务领域：</w:t>
      </w:r>
    </w:p>
    <w:tbl>
      <w:tblPr>
        <w:tblStyle w:val="af3"/>
        <w:tblW w:w="4999" w:type="pct"/>
        <w:tblLook w:val="04A0" w:firstRow="1" w:lastRow="0" w:firstColumn="1" w:lastColumn="0" w:noHBand="0" w:noVBand="1"/>
      </w:tblPr>
      <w:tblGrid>
        <w:gridCol w:w="1364"/>
        <w:gridCol w:w="2954"/>
        <w:gridCol w:w="4202"/>
      </w:tblGrid>
      <w:tr w:rsidR="00883C54" w14:paraId="085AC623" w14:textId="77777777">
        <w:tc>
          <w:tcPr>
            <w:tcW w:w="800" w:type="pct"/>
          </w:tcPr>
          <w:p w14:paraId="0CA4D43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2A6DFCB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58852EA1"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769C20EB" w14:textId="77777777">
        <w:trPr>
          <w:trHeight w:val="2869"/>
        </w:trPr>
        <w:tc>
          <w:tcPr>
            <w:tcW w:w="800" w:type="pct"/>
          </w:tcPr>
          <w:p w14:paraId="1D6FD28E"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5ED6102"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5EAF783F"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0CA4DFA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支出事前申请及审批</w:t>
            </w:r>
          </w:p>
        </w:tc>
        <w:tc>
          <w:tcPr>
            <w:tcW w:w="1733" w:type="pct"/>
          </w:tcPr>
          <w:p w14:paraId="2C24F08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如果相关业务部门在开展业务前，对涉及支出的事项没有根据工作计划、工作任务和单位领导的指示并结合预算指标进行事前审批，可能导致支出与预算脱节，进而影响支出进度和财务数据的真实、准确。</w:t>
            </w:r>
          </w:p>
        </w:tc>
        <w:tc>
          <w:tcPr>
            <w:tcW w:w="2466" w:type="pct"/>
          </w:tcPr>
          <w:p w14:paraId="202CED66"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岗根据</w:t>
            </w:r>
            <w:proofErr w:type="gramEnd"/>
            <w:r>
              <w:rPr>
                <w:rFonts w:ascii="宋体" w:hAnsi="宋体" w:cs="仿宋" w:hint="eastAsia"/>
                <w:bCs/>
                <w:szCs w:val="28"/>
              </w:rPr>
              <w:t>工作计划、工作任务和单位领导的指示并结合预算指标，按照支出内部管理要求，提出支出事前申请，经单位内部有效审核、审议通过后执行申请事项。</w:t>
            </w:r>
          </w:p>
        </w:tc>
      </w:tr>
      <w:tr w:rsidR="00883C54" w14:paraId="796C1E18" w14:textId="77777777">
        <w:trPr>
          <w:trHeight w:val="2186"/>
        </w:trPr>
        <w:tc>
          <w:tcPr>
            <w:tcW w:w="800" w:type="pct"/>
          </w:tcPr>
          <w:p w14:paraId="5EA7C06B"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48DBC2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用款计划申请及审批</w:t>
            </w:r>
          </w:p>
        </w:tc>
        <w:tc>
          <w:tcPr>
            <w:tcW w:w="1733" w:type="pct"/>
          </w:tcPr>
          <w:p w14:paraId="2C7945D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如果相关业务部门提出的用款计划没有相应的预算支持，而会计编制了用款计划，可能导致支出与预算脱节，进而影响财务数据真实、完整、准确。</w:t>
            </w:r>
          </w:p>
        </w:tc>
        <w:tc>
          <w:tcPr>
            <w:tcW w:w="2466" w:type="pct"/>
          </w:tcPr>
          <w:p w14:paraId="43784E9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会计复核相关业务部门经办</w:t>
            </w:r>
            <w:proofErr w:type="gramStart"/>
            <w:r>
              <w:rPr>
                <w:rFonts w:ascii="宋体" w:hAnsi="宋体" w:cs="仿宋" w:hint="eastAsia"/>
                <w:bCs/>
                <w:szCs w:val="28"/>
              </w:rPr>
              <w:t>岗提出</w:t>
            </w:r>
            <w:proofErr w:type="gramEnd"/>
            <w:r>
              <w:rPr>
                <w:rFonts w:ascii="宋体" w:hAnsi="宋体" w:cs="仿宋" w:hint="eastAsia"/>
                <w:bCs/>
                <w:szCs w:val="28"/>
              </w:rPr>
              <w:t>的用款需求及审批单内容有预算指标后，编制用款计划。用款计划经单位内部有效审核、审议后按计划执行。</w:t>
            </w:r>
          </w:p>
        </w:tc>
      </w:tr>
      <w:tr w:rsidR="00883C54" w14:paraId="2660EC18" w14:textId="77777777">
        <w:trPr>
          <w:trHeight w:val="1420"/>
        </w:trPr>
        <w:tc>
          <w:tcPr>
            <w:tcW w:w="800" w:type="pct"/>
          </w:tcPr>
          <w:p w14:paraId="43CB68BE"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D7E1BC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公务卡申领及注销</w:t>
            </w:r>
          </w:p>
        </w:tc>
        <w:tc>
          <w:tcPr>
            <w:tcW w:w="1733" w:type="pct"/>
          </w:tcPr>
          <w:p w14:paraId="19FBE06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如果公务卡申领未经单位适当审核，可能造成无关人员持卡，加大单</w:t>
            </w:r>
            <w:r>
              <w:rPr>
                <w:rFonts w:ascii="宋体" w:hAnsi="宋体" w:cs="仿宋" w:hint="eastAsia"/>
                <w:bCs/>
                <w:szCs w:val="28"/>
              </w:rPr>
              <w:t>位管理成本。</w:t>
            </w:r>
          </w:p>
        </w:tc>
        <w:tc>
          <w:tcPr>
            <w:tcW w:w="2466" w:type="pct"/>
          </w:tcPr>
          <w:p w14:paraId="6EDCC43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岗负责</w:t>
            </w:r>
            <w:proofErr w:type="gramEnd"/>
            <w:r>
              <w:rPr>
                <w:rFonts w:ascii="宋体" w:hAnsi="宋体" w:cs="仿宋" w:hint="eastAsia"/>
                <w:bCs/>
                <w:szCs w:val="28"/>
              </w:rPr>
              <w:t>申办公务卡，提供相关申请资料，经单位内部有效审核、审议后后方可到本单位发卡银行办理。</w:t>
            </w:r>
          </w:p>
        </w:tc>
      </w:tr>
      <w:tr w:rsidR="00883C54" w14:paraId="3E16D32C" w14:textId="77777777">
        <w:trPr>
          <w:trHeight w:val="3740"/>
        </w:trPr>
        <w:tc>
          <w:tcPr>
            <w:tcW w:w="800" w:type="pct"/>
          </w:tcPr>
          <w:p w14:paraId="6F4E147B"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2174A2A1"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128FBC5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财政票据申领及发放</w:t>
            </w:r>
          </w:p>
        </w:tc>
        <w:tc>
          <w:tcPr>
            <w:tcW w:w="1733" w:type="pct"/>
          </w:tcPr>
          <w:p w14:paraId="2F399593"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p>
          <w:p w14:paraId="4F2BE9D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如果票据领购程序不合</w:t>
            </w:r>
            <w:proofErr w:type="gramStart"/>
            <w:r>
              <w:rPr>
                <w:rFonts w:ascii="宋体" w:hAnsi="宋体" w:cs="仿宋" w:hint="eastAsia"/>
                <w:bCs/>
                <w:szCs w:val="28"/>
              </w:rPr>
              <w:t>规</w:t>
            </w:r>
            <w:proofErr w:type="gramEnd"/>
            <w:r>
              <w:rPr>
                <w:rFonts w:ascii="宋体" w:hAnsi="宋体" w:cs="仿宋" w:hint="eastAsia"/>
                <w:bCs/>
                <w:szCs w:val="28"/>
              </w:rPr>
              <w:t>，未按照本单位实际需求申请，可能造成一次申请过多或者过少，频繁申领。</w:t>
            </w:r>
          </w:p>
        </w:tc>
        <w:tc>
          <w:tcPr>
            <w:tcW w:w="2466" w:type="pct"/>
          </w:tcPr>
          <w:p w14:paraId="62B5C05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财政票据实行凭证领购、分次限量、</w:t>
            </w:r>
            <w:proofErr w:type="gramStart"/>
            <w:r>
              <w:rPr>
                <w:rFonts w:ascii="宋体" w:hAnsi="宋体" w:cs="仿宋" w:hint="eastAsia"/>
                <w:bCs/>
                <w:szCs w:val="28"/>
              </w:rPr>
              <w:t>核旧领</w:t>
            </w:r>
            <w:proofErr w:type="gramEnd"/>
            <w:r>
              <w:rPr>
                <w:rFonts w:ascii="宋体" w:hAnsi="宋体" w:cs="仿宋" w:hint="eastAsia"/>
                <w:bCs/>
                <w:szCs w:val="28"/>
              </w:rPr>
              <w:t>新制度。</w:t>
            </w:r>
          </w:p>
          <w:p w14:paraId="71A13D3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财务经办岗一次领购的财政票据按照同级财政规定申领。再次领购财政票据，应当出示《财政票据领购证》，提供前次票据的使用情况，包括票据的种类、册（份）数、起止号码、使用份数、作废份数、收取金额及票据存根等内容。</w:t>
            </w:r>
          </w:p>
          <w:p w14:paraId="51B594B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申领财政票据申请经单位内部有效审核、审议后向同级财政部门申领。</w:t>
            </w:r>
          </w:p>
        </w:tc>
      </w:tr>
    </w:tbl>
    <w:p w14:paraId="0CB01CA6"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t>（三）政府采购业务领域：</w:t>
      </w:r>
    </w:p>
    <w:tbl>
      <w:tblPr>
        <w:tblStyle w:val="af3"/>
        <w:tblW w:w="4999" w:type="pct"/>
        <w:tblLook w:val="04A0" w:firstRow="1" w:lastRow="0" w:firstColumn="1" w:lastColumn="0" w:noHBand="0" w:noVBand="1"/>
      </w:tblPr>
      <w:tblGrid>
        <w:gridCol w:w="1364"/>
        <w:gridCol w:w="2954"/>
        <w:gridCol w:w="4202"/>
      </w:tblGrid>
      <w:tr w:rsidR="00883C54" w14:paraId="74005FDA" w14:textId="77777777">
        <w:tc>
          <w:tcPr>
            <w:tcW w:w="800" w:type="pct"/>
          </w:tcPr>
          <w:p w14:paraId="5B47C1B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6ADFE9F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2B1F8A1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7506DF77" w14:textId="77777777">
        <w:trPr>
          <w:trHeight w:val="4003"/>
        </w:trPr>
        <w:tc>
          <w:tcPr>
            <w:tcW w:w="800" w:type="pct"/>
          </w:tcPr>
          <w:p w14:paraId="4D6A1871"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7A3896C4"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7FCD6BC"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9C6DC1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采购需求论证</w:t>
            </w:r>
          </w:p>
        </w:tc>
        <w:tc>
          <w:tcPr>
            <w:tcW w:w="1733" w:type="pct"/>
          </w:tcPr>
          <w:p w14:paraId="0CF71B01"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在开展需求论证时对专家没有具体要求，只满足于出具需求论证报告，对专家如何开展需求论证未有明确，可能专家在论证过程中不认真履职，简单地走过场，有的对需求存在明显倾向性、排斥性的也视而不见，最终导致论证后的需求不全面、不合理、有的存在倾向排斥，有的甚至与法律法规相冲突。</w:t>
            </w:r>
          </w:p>
        </w:tc>
        <w:tc>
          <w:tcPr>
            <w:tcW w:w="2466" w:type="pct"/>
          </w:tcPr>
          <w:p w14:paraId="7ED3C05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采购需求论证时，进一步明确专家论证的具体职责和论证内容，加强对专家的约束和考核。</w:t>
            </w:r>
          </w:p>
          <w:p w14:paraId="1C87A92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专业人员出具的采购需求论证结论、专家小组出具的采购需求论证结论，单位自主决定是否采纳采购需求论证意见，并承担相应的法律责任。</w:t>
            </w:r>
          </w:p>
          <w:p w14:paraId="1B71BA5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专业人员论证结论、专家小组论证结</w:t>
            </w:r>
            <w:r>
              <w:rPr>
                <w:rFonts w:ascii="宋体" w:hAnsi="宋体" w:cs="仿宋" w:hint="eastAsia"/>
                <w:bCs/>
                <w:szCs w:val="28"/>
              </w:rPr>
              <w:t>论经单位内部有效审核、审批后公示论证结果。</w:t>
            </w:r>
          </w:p>
        </w:tc>
      </w:tr>
      <w:tr w:rsidR="00883C54" w14:paraId="689A885C" w14:textId="77777777">
        <w:trPr>
          <w:trHeight w:val="3252"/>
        </w:trPr>
        <w:tc>
          <w:tcPr>
            <w:tcW w:w="800" w:type="pct"/>
          </w:tcPr>
          <w:p w14:paraId="23B7D118"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5DDD38B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年度政府采购实施计划申报及审批</w:t>
            </w:r>
          </w:p>
        </w:tc>
        <w:tc>
          <w:tcPr>
            <w:tcW w:w="1733" w:type="pct"/>
          </w:tcPr>
          <w:p w14:paraId="0AD6C59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政府采购实施计划编制不合理。如果在政府采购行为中不注重前期预算的重要性，超出预算范围，编制资金尚未落实的政府采购计划，可能导致单位政府采购与预算申请及批复不符，也违反政府采购相关政策要求。</w:t>
            </w:r>
          </w:p>
        </w:tc>
        <w:tc>
          <w:tcPr>
            <w:tcW w:w="2466" w:type="pct"/>
          </w:tcPr>
          <w:p w14:paraId="6C67E3C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明确政府采购实施计划编制的工作流程和要求，相关业务部门按政府采购实施计划编制流程和要求执行，确保年度政府采购实施计划编制符合国家相关法律法规。</w:t>
            </w:r>
          </w:p>
        </w:tc>
      </w:tr>
      <w:tr w:rsidR="00883C54" w14:paraId="09E438D3" w14:textId="77777777">
        <w:trPr>
          <w:trHeight w:val="2391"/>
        </w:trPr>
        <w:tc>
          <w:tcPr>
            <w:tcW w:w="800" w:type="pct"/>
          </w:tcPr>
          <w:p w14:paraId="0B6E1275"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18C6CE9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采购方式变更申请及审批</w:t>
            </w:r>
          </w:p>
        </w:tc>
        <w:tc>
          <w:tcPr>
            <w:tcW w:w="1733" w:type="pct"/>
          </w:tcPr>
          <w:p w14:paraId="1DF090F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如果政府采购方式变更申请证明材料不真实、不完整、不充分，未经单位内部审核、审批，可能导致单位政府采购方式变更违规或滋生腐败、舞弊。</w:t>
            </w:r>
          </w:p>
        </w:tc>
        <w:tc>
          <w:tcPr>
            <w:tcW w:w="2466" w:type="pct"/>
          </w:tcPr>
          <w:p w14:paraId="30F6DF6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相关业务部门经办</w:t>
            </w:r>
            <w:proofErr w:type="gramStart"/>
            <w:r>
              <w:rPr>
                <w:rFonts w:ascii="宋体" w:hAnsi="宋体" w:cs="仿宋" w:hint="eastAsia"/>
                <w:bCs/>
                <w:szCs w:val="28"/>
              </w:rPr>
              <w:t>岗提出</w:t>
            </w:r>
            <w:proofErr w:type="gramEnd"/>
            <w:r>
              <w:rPr>
                <w:rFonts w:ascii="宋体" w:hAnsi="宋体" w:cs="仿宋" w:hint="eastAsia"/>
                <w:bCs/>
                <w:szCs w:val="28"/>
              </w:rPr>
              <w:t>政府采购方式变更申请，经第三方中介机构进行市场调研后出具调研报告或专家论证出具论证结论后，根据政府采购方式变更规定提供真实、完整、有效的支撑材料起草政府采购方式变更审批表，经单位内部有效审核、审议后，上报同级财政部门审批。</w:t>
            </w:r>
          </w:p>
        </w:tc>
      </w:tr>
      <w:tr w:rsidR="00883C54" w14:paraId="4A30BB7E" w14:textId="77777777">
        <w:trPr>
          <w:trHeight w:val="699"/>
        </w:trPr>
        <w:tc>
          <w:tcPr>
            <w:tcW w:w="800" w:type="pct"/>
          </w:tcPr>
          <w:p w14:paraId="1364AD0E"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184FA09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采购履约验收与结算</w:t>
            </w:r>
          </w:p>
        </w:tc>
        <w:tc>
          <w:tcPr>
            <w:tcW w:w="1733" w:type="pct"/>
          </w:tcPr>
          <w:p w14:paraId="41D19F8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供应商合同履行与合同约定不一致，采购物资存在以次充好、降低标准等问题，采购人或由于专业能力无法发现或为谋取私利默认了该行为，可能导致未满足和实现采购需求，进而浪费采购资金，增加了采购成本。</w:t>
            </w:r>
          </w:p>
        </w:tc>
        <w:tc>
          <w:tcPr>
            <w:tcW w:w="2466" w:type="pct"/>
          </w:tcPr>
          <w:p w14:paraId="21E18E2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验收小组要制定验收方案，严格办理采购验收手续，确</w:t>
            </w:r>
            <w:r>
              <w:rPr>
                <w:rFonts w:ascii="宋体" w:hAnsi="宋体" w:cs="仿宋" w:hint="eastAsia"/>
                <w:bCs/>
                <w:szCs w:val="28"/>
              </w:rPr>
              <w:t>保出具的采购验收报告真实有效，确保验收报告对每一项技术、服务、安全标准的履约情况进行了验证，妥善处理和解决验收中的异常情况，及时解决相关问题，确保政府采购实现预期目标。</w:t>
            </w:r>
          </w:p>
          <w:p w14:paraId="65174A0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采购验收方案经单位内部有效审核、审议后，按验收方案实施采购验收。</w:t>
            </w:r>
          </w:p>
          <w:p w14:paraId="497FE2E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采购验收报告需经单位内部有效审核、审议。</w:t>
            </w:r>
          </w:p>
        </w:tc>
      </w:tr>
      <w:tr w:rsidR="00883C54" w14:paraId="7EEEFA4B" w14:textId="77777777">
        <w:trPr>
          <w:trHeight w:val="2533"/>
        </w:trPr>
        <w:tc>
          <w:tcPr>
            <w:tcW w:w="800" w:type="pct"/>
          </w:tcPr>
          <w:p w14:paraId="4A95A91D"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A859D4B"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22F0255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采购质疑答复与投诉受理</w:t>
            </w:r>
          </w:p>
        </w:tc>
        <w:tc>
          <w:tcPr>
            <w:tcW w:w="1733" w:type="pct"/>
          </w:tcPr>
          <w:p w14:paraId="71D4F49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如果单位未在法定时间回复质疑和投诉；或者拒绝回复或回避质疑和投诉，堵塞沟通渠道，可能导致损害供应商利益，影响政府采购的公正性。</w:t>
            </w:r>
          </w:p>
        </w:tc>
        <w:tc>
          <w:tcPr>
            <w:tcW w:w="2466" w:type="pct"/>
          </w:tcPr>
          <w:p w14:paraId="11B8F07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单位要规范政府采购过程中的质疑答复与投诉受理管理体制，及时处理问题，把监督落实在事前、事中、事后。采购应答文件、书面说明经单位内部有效审核、审议后逐级上报。</w:t>
            </w:r>
          </w:p>
        </w:tc>
      </w:tr>
    </w:tbl>
    <w:p w14:paraId="31051E5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t>（三）资产业务领域：</w:t>
      </w:r>
    </w:p>
    <w:tbl>
      <w:tblPr>
        <w:tblStyle w:val="af3"/>
        <w:tblW w:w="4998" w:type="pct"/>
        <w:tblLook w:val="04A0" w:firstRow="1" w:lastRow="0" w:firstColumn="1" w:lastColumn="0" w:noHBand="0" w:noVBand="1"/>
      </w:tblPr>
      <w:tblGrid>
        <w:gridCol w:w="1362"/>
        <w:gridCol w:w="2954"/>
        <w:gridCol w:w="4203"/>
      </w:tblGrid>
      <w:tr w:rsidR="00883C54" w14:paraId="4C2D3B6B" w14:textId="77777777">
        <w:tc>
          <w:tcPr>
            <w:tcW w:w="799" w:type="pct"/>
          </w:tcPr>
          <w:p w14:paraId="2C6A86D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0DC4A52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4C008CF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5C299D79" w14:textId="77777777">
        <w:trPr>
          <w:trHeight w:val="2158"/>
        </w:trPr>
        <w:tc>
          <w:tcPr>
            <w:tcW w:w="799" w:type="pct"/>
          </w:tcPr>
          <w:p w14:paraId="7E4D6796"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7A8BDF06"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国有资产配置计划申报及审核</w:t>
            </w:r>
          </w:p>
        </w:tc>
        <w:tc>
          <w:tcPr>
            <w:tcW w:w="1733" w:type="pct"/>
          </w:tcPr>
          <w:p w14:paraId="62F7DAF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如果资产配置没有经过全面分析，不符合单位资产状况和实际需求，超标配置，决策不科学，未经恰当审核、审批，可能导致取得和配置违规违法。</w:t>
            </w:r>
          </w:p>
        </w:tc>
        <w:tc>
          <w:tcPr>
            <w:tcW w:w="2466" w:type="pct"/>
          </w:tcPr>
          <w:p w14:paraId="59993F2D"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71999A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经办岗起草购置计划申请。购置计划申请填写详细，杜绝资产配置数量和单价超标。资产配置计划经单位内部有效审核、审议后逐级上报批复后执行。</w:t>
            </w:r>
          </w:p>
        </w:tc>
      </w:tr>
      <w:tr w:rsidR="00883C54" w14:paraId="5F548ECC" w14:textId="77777777">
        <w:trPr>
          <w:trHeight w:val="2117"/>
        </w:trPr>
        <w:tc>
          <w:tcPr>
            <w:tcW w:w="799" w:type="pct"/>
          </w:tcPr>
          <w:p w14:paraId="438B0F10"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48CDA61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国有资产调剂</w:t>
            </w:r>
          </w:p>
        </w:tc>
        <w:tc>
          <w:tcPr>
            <w:tcW w:w="1733" w:type="pct"/>
          </w:tcPr>
          <w:p w14:paraId="1468981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如果实物资产在调剂时调入部门、调出部门之间未做好清点和验收工作、未进行档案移交，可能造成资产管理混乱，甚至造成单位闲置资产流失、毁损等风险。</w:t>
            </w:r>
          </w:p>
        </w:tc>
        <w:tc>
          <w:tcPr>
            <w:tcW w:w="2466" w:type="pct"/>
          </w:tcPr>
          <w:p w14:paraId="0B9E9F5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资产调拨单经单位内部有效审核、审议后。资产调入部门、资产调出部门在办理实物资产调剂时做好现场清点和验收，并进行相关档案登记和移交。</w:t>
            </w:r>
          </w:p>
        </w:tc>
      </w:tr>
      <w:tr w:rsidR="00883C54" w14:paraId="1E3D396B" w14:textId="77777777">
        <w:trPr>
          <w:trHeight w:val="2121"/>
        </w:trPr>
        <w:tc>
          <w:tcPr>
            <w:tcW w:w="799" w:type="pct"/>
          </w:tcPr>
          <w:p w14:paraId="49F7040C"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24631554"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资产盘点</w:t>
            </w:r>
          </w:p>
        </w:tc>
        <w:tc>
          <w:tcPr>
            <w:tcW w:w="1733" w:type="pct"/>
          </w:tcPr>
          <w:p w14:paraId="0836109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如果未定期进行国有资产盘点，可能导致未掌握资产遗失、毁损等情况的发现，进而影响资产账实核对及单位资产管理。</w:t>
            </w:r>
          </w:p>
        </w:tc>
        <w:tc>
          <w:tcPr>
            <w:tcW w:w="2466" w:type="pct"/>
          </w:tcPr>
          <w:p w14:paraId="1D27E30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固定资产盘点结束后，资产盘点小组编制固定资产盘点报告，对于账</w:t>
            </w:r>
            <w:proofErr w:type="gramStart"/>
            <w:r>
              <w:rPr>
                <w:rFonts w:ascii="宋体" w:hAnsi="宋体" w:cs="仿宋" w:hint="eastAsia"/>
                <w:bCs/>
                <w:szCs w:val="28"/>
              </w:rPr>
              <w:t>账</w:t>
            </w:r>
            <w:proofErr w:type="gramEnd"/>
            <w:r>
              <w:rPr>
                <w:rFonts w:ascii="宋体" w:hAnsi="宋体" w:cs="仿宋" w:hint="eastAsia"/>
                <w:bCs/>
                <w:szCs w:val="28"/>
              </w:rPr>
              <w:t>不符</w:t>
            </w:r>
            <w:proofErr w:type="gramStart"/>
            <w:r>
              <w:rPr>
                <w:rFonts w:ascii="宋体" w:hAnsi="宋体" w:cs="仿宋" w:hint="eastAsia"/>
                <w:bCs/>
                <w:szCs w:val="28"/>
              </w:rPr>
              <w:t>和账实</w:t>
            </w:r>
            <w:proofErr w:type="gramEnd"/>
            <w:r>
              <w:rPr>
                <w:rFonts w:ascii="宋体" w:hAnsi="宋体" w:cs="仿宋" w:hint="eastAsia"/>
                <w:bCs/>
                <w:szCs w:val="28"/>
              </w:rPr>
              <w:t>不符的情况，出具处理意见，经单位内部有效审核</w:t>
            </w:r>
            <w:r>
              <w:rPr>
                <w:rFonts w:ascii="宋体" w:hAnsi="宋体" w:cs="仿宋" w:hint="eastAsia"/>
                <w:bCs/>
                <w:szCs w:val="28"/>
              </w:rPr>
              <w:t>、审批后做相应处理。</w:t>
            </w:r>
          </w:p>
        </w:tc>
      </w:tr>
      <w:tr w:rsidR="00883C54" w14:paraId="079DEDA5" w14:textId="77777777">
        <w:trPr>
          <w:trHeight w:val="2965"/>
        </w:trPr>
        <w:tc>
          <w:tcPr>
            <w:tcW w:w="799" w:type="pct"/>
          </w:tcPr>
          <w:p w14:paraId="2DD0885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国有资产报损、报废申请及审批</w:t>
            </w:r>
          </w:p>
        </w:tc>
        <w:tc>
          <w:tcPr>
            <w:tcW w:w="1733" w:type="pct"/>
          </w:tcPr>
          <w:p w14:paraId="340BAD4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如果国有资产报损、报废未按要求出具鉴定报告，报损、报废程序不合</w:t>
            </w:r>
            <w:proofErr w:type="gramStart"/>
            <w:r>
              <w:rPr>
                <w:rFonts w:ascii="宋体" w:hAnsi="宋体" w:cs="仿宋" w:hint="eastAsia"/>
                <w:bCs/>
                <w:szCs w:val="28"/>
              </w:rPr>
              <w:t>规</w:t>
            </w:r>
            <w:proofErr w:type="gramEnd"/>
            <w:r>
              <w:rPr>
                <w:rFonts w:ascii="宋体" w:hAnsi="宋体" w:cs="仿宋" w:hint="eastAsia"/>
                <w:bCs/>
                <w:szCs w:val="28"/>
              </w:rPr>
              <w:t>，未严格执行审核审批程序，可能导致国有资产隐性流失。</w:t>
            </w:r>
          </w:p>
        </w:tc>
        <w:tc>
          <w:tcPr>
            <w:tcW w:w="2466" w:type="pct"/>
          </w:tcPr>
          <w:p w14:paraId="3F043D3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岗委托</w:t>
            </w:r>
            <w:proofErr w:type="gramEnd"/>
            <w:r>
              <w:rPr>
                <w:rFonts w:ascii="宋体" w:hAnsi="宋体" w:cs="仿宋" w:hint="eastAsia"/>
                <w:bCs/>
                <w:szCs w:val="28"/>
              </w:rPr>
              <w:t>具有相关资质的中介机构进行国有资产报损、报废评估，出具专项审计报告和经济</w:t>
            </w:r>
            <w:proofErr w:type="gramStart"/>
            <w:r>
              <w:rPr>
                <w:rFonts w:ascii="宋体" w:hAnsi="宋体" w:cs="仿宋" w:hint="eastAsia"/>
                <w:bCs/>
                <w:szCs w:val="28"/>
              </w:rPr>
              <w:t>鉴证</w:t>
            </w:r>
            <w:proofErr w:type="gramEnd"/>
            <w:r>
              <w:rPr>
                <w:rFonts w:ascii="宋体" w:hAnsi="宋体" w:cs="仿宋" w:hint="eastAsia"/>
                <w:bCs/>
                <w:szCs w:val="28"/>
              </w:rPr>
              <w:t>书，</w:t>
            </w:r>
            <w:proofErr w:type="gramStart"/>
            <w:r>
              <w:rPr>
                <w:rFonts w:ascii="宋体" w:hAnsi="宋体" w:cs="仿宋" w:hint="eastAsia"/>
                <w:bCs/>
                <w:szCs w:val="28"/>
              </w:rPr>
              <w:t>且单位</w:t>
            </w:r>
            <w:proofErr w:type="gramEnd"/>
            <w:r>
              <w:rPr>
                <w:rFonts w:ascii="宋体" w:hAnsi="宋体" w:cs="仿宋" w:hint="eastAsia"/>
                <w:bCs/>
                <w:szCs w:val="28"/>
              </w:rPr>
              <w:t>对所提供的情况和资料的客观性、真实性和合法性负责，不得以任何形式干预评估机构独立执业。</w:t>
            </w:r>
          </w:p>
          <w:p w14:paraId="20AC289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资产报损、报废申请经单位内部有效审核、审议后经办岗逐级上报批复。</w:t>
            </w:r>
          </w:p>
        </w:tc>
      </w:tr>
      <w:tr w:rsidR="00883C54" w14:paraId="71250039" w14:textId="77777777">
        <w:trPr>
          <w:trHeight w:val="2962"/>
        </w:trPr>
        <w:tc>
          <w:tcPr>
            <w:tcW w:w="799" w:type="pct"/>
          </w:tcPr>
          <w:p w14:paraId="50B27CAD"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A65D95A"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050501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国有资产清查核实</w:t>
            </w:r>
          </w:p>
        </w:tc>
        <w:tc>
          <w:tcPr>
            <w:tcW w:w="1733" w:type="pct"/>
          </w:tcPr>
          <w:p w14:paraId="041DB956"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如果单位资产清查方案的工作目标、清查基准日、清查内容、组织机构、实施步骤未具体、细化，可能导致资产清查不能真实体现单位基本情况、账务情况、财产现状和制度现状。</w:t>
            </w:r>
          </w:p>
        </w:tc>
        <w:tc>
          <w:tcPr>
            <w:tcW w:w="2466" w:type="pct"/>
          </w:tcPr>
          <w:p w14:paraId="035BBB16"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单位组织开展资产清查，提出资产清查立项申请经批复后，结合单位实际，制定具体、详实的实施方案，经单位内部有效审核、审议后，根据实施方案组织资产清查，必要时可委托社会中介机构对清查结果进</w:t>
            </w:r>
            <w:r>
              <w:rPr>
                <w:rFonts w:ascii="PingFang SC" w:eastAsia="PingFang SC" w:hAnsi="PingFang SC" w:cs="PingFang SC" w:hint="eastAsia"/>
                <w:bCs/>
                <w:szCs w:val="28"/>
              </w:rPr>
              <w:t>行</w:t>
            </w:r>
            <w:r>
              <w:rPr>
                <w:rFonts w:ascii="宋体" w:hAnsi="宋体" w:cs="仿宋" w:hint="eastAsia"/>
                <w:bCs/>
                <w:szCs w:val="28"/>
              </w:rPr>
              <w:t>专项审计，并形成资产清查报告按规定逐级上报审核确认。</w:t>
            </w:r>
          </w:p>
        </w:tc>
      </w:tr>
    </w:tbl>
    <w:p w14:paraId="3386849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t>（五）建设项目业务领域：</w:t>
      </w:r>
    </w:p>
    <w:tbl>
      <w:tblPr>
        <w:tblStyle w:val="af3"/>
        <w:tblW w:w="4999" w:type="pct"/>
        <w:tblLook w:val="04A0" w:firstRow="1" w:lastRow="0" w:firstColumn="1" w:lastColumn="0" w:noHBand="0" w:noVBand="1"/>
      </w:tblPr>
      <w:tblGrid>
        <w:gridCol w:w="1364"/>
        <w:gridCol w:w="2954"/>
        <w:gridCol w:w="4202"/>
      </w:tblGrid>
      <w:tr w:rsidR="00883C54" w14:paraId="53351B20" w14:textId="77777777">
        <w:tc>
          <w:tcPr>
            <w:tcW w:w="800" w:type="pct"/>
          </w:tcPr>
          <w:p w14:paraId="4A9A6941"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20C4C3D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379B130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154B4E50" w14:textId="77777777">
        <w:trPr>
          <w:trHeight w:val="3004"/>
        </w:trPr>
        <w:tc>
          <w:tcPr>
            <w:tcW w:w="800" w:type="pct"/>
          </w:tcPr>
          <w:p w14:paraId="375E8DF1"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lastRenderedPageBreak/>
              <w:t>项目建议书的编制与审批</w:t>
            </w:r>
          </w:p>
        </w:tc>
        <w:tc>
          <w:tcPr>
            <w:tcW w:w="1733" w:type="pct"/>
          </w:tcPr>
          <w:p w14:paraId="41781EE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如果项目建议书中存在与国家法律法规不符的情况，若不能及时发现，可能导致项目建议书申请不通过；如果项目建议书申报内容与单位实际发展需要和公共服务的需要不吻合，可能导致结果达不到预期目标。</w:t>
            </w:r>
          </w:p>
        </w:tc>
        <w:tc>
          <w:tcPr>
            <w:tcW w:w="2466" w:type="pct"/>
          </w:tcPr>
          <w:p w14:paraId="38477C2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确保建设项目立项决策科学合理、符合国家和单位的利益，技术上可行，能够产生预期的经济和社会效益；建设项目实行集体议事决策，妥善保管决策过程中的文件资料。</w:t>
            </w:r>
          </w:p>
          <w:p w14:paraId="2971FED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确保项目建议书的申请和审批经过适当的审核、审批或评审程序，并出具审核或评审意见。</w:t>
            </w:r>
          </w:p>
        </w:tc>
      </w:tr>
      <w:tr w:rsidR="00883C54" w14:paraId="34769E87" w14:textId="77777777">
        <w:trPr>
          <w:trHeight w:val="2117"/>
        </w:trPr>
        <w:tc>
          <w:tcPr>
            <w:tcW w:w="800" w:type="pct"/>
          </w:tcPr>
          <w:p w14:paraId="0508075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建设项目勘察、</w:t>
            </w:r>
            <w:proofErr w:type="gramStart"/>
            <w:r>
              <w:rPr>
                <w:rFonts w:ascii="宋体" w:hAnsi="宋体" w:cs="仿宋" w:hint="eastAsia"/>
                <w:bCs/>
                <w:szCs w:val="28"/>
              </w:rPr>
              <w:t>设计与概预算</w:t>
            </w:r>
            <w:proofErr w:type="gramEnd"/>
            <w:r>
              <w:rPr>
                <w:rFonts w:ascii="宋体" w:hAnsi="宋体" w:cs="仿宋" w:hint="eastAsia"/>
                <w:bCs/>
                <w:szCs w:val="28"/>
              </w:rPr>
              <w:t>的编制与审批</w:t>
            </w:r>
          </w:p>
        </w:tc>
        <w:tc>
          <w:tcPr>
            <w:tcW w:w="1733" w:type="pct"/>
          </w:tcPr>
          <w:p w14:paraId="200F4C6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如果勘察、设计文件的编制依据不符合法规的要求，编制</w:t>
            </w:r>
            <w:r>
              <w:rPr>
                <w:rFonts w:ascii="宋体" w:hAnsi="宋体" w:cs="仿宋" w:hint="eastAsia"/>
                <w:bCs/>
                <w:szCs w:val="28"/>
              </w:rPr>
              <w:t>内容不合理，可能导致初步设计文件和施工图文件不符合审查条件。</w:t>
            </w:r>
          </w:p>
        </w:tc>
        <w:tc>
          <w:tcPr>
            <w:tcW w:w="2466" w:type="pct"/>
          </w:tcPr>
          <w:p w14:paraId="05F21E0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择优选择有类似项目实施经验的勘察、设计单位，选择程序和标准明确、规范，确保选择的勘察、设计具有相应等级资质，能够最大限度地满足建设工程勘察、设计的要求。</w:t>
            </w:r>
          </w:p>
        </w:tc>
      </w:tr>
      <w:tr w:rsidR="00883C54" w14:paraId="5649BAE2" w14:textId="77777777">
        <w:trPr>
          <w:trHeight w:val="3251"/>
        </w:trPr>
        <w:tc>
          <w:tcPr>
            <w:tcW w:w="800" w:type="pct"/>
          </w:tcPr>
          <w:p w14:paraId="45AC6C6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建设项目施工与结算</w:t>
            </w:r>
          </w:p>
        </w:tc>
        <w:tc>
          <w:tcPr>
            <w:tcW w:w="1733" w:type="pct"/>
          </w:tcPr>
          <w:p w14:paraId="02C83AB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施工现场控制不到位，缺乏质量检查和检验，导致施工操作不达标、施工现场出现安全隐患、施工质量不达标、重复施工、偷工减料等问题；工程监理单位接受商业贿赂，与施工单位串通舞弊，降低标准，导致工程质量低劣。</w:t>
            </w:r>
          </w:p>
        </w:tc>
        <w:tc>
          <w:tcPr>
            <w:tcW w:w="2466" w:type="pct"/>
          </w:tcPr>
          <w:p w14:paraId="56820D6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加强项目施工过程监控，确保项目施工严格按照工期、进度开展，能够按时完成</w:t>
            </w:r>
            <w:r>
              <w:rPr>
                <w:rFonts w:ascii="宋体" w:hAnsi="宋体" w:cs="仿宋" w:hint="eastAsia"/>
                <w:bCs/>
                <w:szCs w:val="28"/>
              </w:rPr>
              <w:t>建设工程；明确施工单位、监理单位、建设单位和相关单位在工程质量、生产安全方面的职责，确保建设工程质量达标，保证建设工程安全生产的前提下按合同约定支付工程款。</w:t>
            </w:r>
          </w:p>
        </w:tc>
      </w:tr>
      <w:tr w:rsidR="00883C54" w14:paraId="4BB4D009" w14:textId="77777777">
        <w:trPr>
          <w:trHeight w:val="2173"/>
        </w:trPr>
        <w:tc>
          <w:tcPr>
            <w:tcW w:w="800" w:type="pct"/>
          </w:tcPr>
          <w:p w14:paraId="659347F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建设项目设计变更、洽商签证</w:t>
            </w:r>
          </w:p>
        </w:tc>
        <w:tc>
          <w:tcPr>
            <w:tcW w:w="1733" w:type="pct"/>
          </w:tcPr>
          <w:p w14:paraId="5E3DB79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如果施工合同中的条款内容有歧义、施工方案有缺陷、工程标准不确定，可能导致工程施工变更，影响工程进度。</w:t>
            </w:r>
          </w:p>
        </w:tc>
        <w:tc>
          <w:tcPr>
            <w:tcW w:w="2466" w:type="pct"/>
          </w:tcPr>
          <w:p w14:paraId="00B8C6F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建设单位、施工单位、监理单位、设计单位等任何一方提出工程设计变更，要符合合同条款及国家相关规定，要有利于合同目标的实际。工程变更要经单位内部有效的审核、审议，按规定程序进行变更。</w:t>
            </w:r>
          </w:p>
        </w:tc>
      </w:tr>
      <w:tr w:rsidR="00883C54" w14:paraId="7CD73650" w14:textId="77777777">
        <w:trPr>
          <w:trHeight w:val="1641"/>
        </w:trPr>
        <w:tc>
          <w:tcPr>
            <w:tcW w:w="800" w:type="pct"/>
          </w:tcPr>
          <w:p w14:paraId="729DC3DB"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建设项目竣工验收与（结算）决算</w:t>
            </w:r>
          </w:p>
        </w:tc>
        <w:tc>
          <w:tcPr>
            <w:tcW w:w="1733" w:type="pct"/>
          </w:tcPr>
          <w:p w14:paraId="296FA504"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如果竣工验收条件不确定，相关资料不完整，可能导致竣工验收缺乏依据和参考。</w:t>
            </w:r>
          </w:p>
        </w:tc>
        <w:tc>
          <w:tcPr>
            <w:tcW w:w="2466" w:type="pct"/>
          </w:tcPr>
          <w:p w14:paraId="3B1A590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经办岗在项目竣工后及时核实和落实竣工验收不确定的条件，并逐一沟通和落实；补齐和完善相关资料，确保项目竣工后在规定时间内办理竣工验收。</w:t>
            </w:r>
          </w:p>
        </w:tc>
      </w:tr>
      <w:tr w:rsidR="00883C54" w14:paraId="26FE7C9B" w14:textId="77777777">
        <w:trPr>
          <w:trHeight w:val="2962"/>
        </w:trPr>
        <w:tc>
          <w:tcPr>
            <w:tcW w:w="800" w:type="pct"/>
          </w:tcPr>
          <w:p w14:paraId="674B9F2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lastRenderedPageBreak/>
              <w:t>修缮</w:t>
            </w:r>
            <w:r>
              <w:rPr>
                <w:rFonts w:ascii="宋体" w:hAnsi="宋体" w:cs="仿宋" w:hint="eastAsia"/>
                <w:bCs/>
                <w:szCs w:val="28"/>
              </w:rPr>
              <w:t>/</w:t>
            </w:r>
            <w:r>
              <w:rPr>
                <w:rFonts w:ascii="宋体" w:hAnsi="宋体" w:cs="仿宋" w:hint="eastAsia"/>
                <w:bCs/>
                <w:szCs w:val="28"/>
              </w:rPr>
              <w:t>维修申请及审批流程说明</w:t>
            </w:r>
          </w:p>
        </w:tc>
        <w:tc>
          <w:tcPr>
            <w:tcW w:w="1733" w:type="pct"/>
          </w:tcPr>
          <w:p w14:paraId="5B25CAB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如果修缮、维修项目实施缺乏计划性、统筹性、整体性，上可能导致有的修缮、维修工程几经反复也没有达到理想效果，造成资金浪费。</w:t>
            </w:r>
          </w:p>
        </w:tc>
        <w:tc>
          <w:tcPr>
            <w:tcW w:w="2466" w:type="pct"/>
          </w:tcPr>
          <w:p w14:paraId="53DF0B7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理的安排修缮、维修项目计划。以便一年的整个维修工程计划按照实际投入状况有序分步实施。在布置计划的同时，要进行目标控制，如进度控制、质量控制、投资控制等，进而达到强化维修工作计划与决策的严肃性的目的，减少以致杜绝零星维修工程项目中的盲目性。</w:t>
            </w:r>
          </w:p>
          <w:p w14:paraId="2EC7185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修缮、维修项目计划经单位内部有效审核、审议。</w:t>
            </w:r>
          </w:p>
        </w:tc>
      </w:tr>
    </w:tbl>
    <w:p w14:paraId="0BFF1177"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Cs/>
          <w:sz w:val="28"/>
          <w:szCs w:val="28"/>
        </w:rPr>
      </w:pPr>
      <w:r>
        <w:rPr>
          <w:rFonts w:ascii="宋体" w:hAnsi="宋体" w:cs="仿宋" w:hint="eastAsia"/>
          <w:bCs/>
          <w:sz w:val="28"/>
          <w:szCs w:val="28"/>
        </w:rPr>
        <w:t>（六）</w:t>
      </w:r>
      <w:r>
        <w:rPr>
          <w:rFonts w:ascii="宋体" w:hAnsi="宋体" w:cs="仿宋" w:hint="eastAsia"/>
          <w:bCs/>
          <w:sz w:val="28"/>
          <w:szCs w:val="28"/>
        </w:rPr>
        <w:t>合同管理</w:t>
      </w:r>
      <w:r>
        <w:rPr>
          <w:rFonts w:ascii="宋体" w:hAnsi="宋体" w:cs="仿宋" w:hint="eastAsia"/>
          <w:bCs/>
          <w:sz w:val="28"/>
          <w:szCs w:val="28"/>
        </w:rPr>
        <w:t>业务领域：</w:t>
      </w:r>
    </w:p>
    <w:tbl>
      <w:tblPr>
        <w:tblStyle w:val="af3"/>
        <w:tblW w:w="4999" w:type="pct"/>
        <w:tblLook w:val="04A0" w:firstRow="1" w:lastRow="0" w:firstColumn="1" w:lastColumn="0" w:noHBand="0" w:noVBand="1"/>
      </w:tblPr>
      <w:tblGrid>
        <w:gridCol w:w="1364"/>
        <w:gridCol w:w="2954"/>
        <w:gridCol w:w="4202"/>
      </w:tblGrid>
      <w:tr w:rsidR="00883C54" w14:paraId="2627F366" w14:textId="77777777">
        <w:tc>
          <w:tcPr>
            <w:tcW w:w="800" w:type="pct"/>
          </w:tcPr>
          <w:p w14:paraId="534DBCD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流程名称</w:t>
            </w:r>
          </w:p>
        </w:tc>
        <w:tc>
          <w:tcPr>
            <w:tcW w:w="1733" w:type="pct"/>
          </w:tcPr>
          <w:p w14:paraId="6851C623"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风险描述</w:t>
            </w:r>
          </w:p>
        </w:tc>
        <w:tc>
          <w:tcPr>
            <w:tcW w:w="2466" w:type="pct"/>
          </w:tcPr>
          <w:p w14:paraId="242B249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jc w:val="both"/>
              <w:rPr>
                <w:rFonts w:ascii="宋体" w:hAnsi="宋体" w:cs="仿宋"/>
                <w:b/>
                <w:bCs/>
                <w:sz w:val="28"/>
                <w:szCs w:val="28"/>
              </w:rPr>
            </w:pPr>
            <w:r>
              <w:rPr>
                <w:rFonts w:ascii="宋体" w:hAnsi="宋体" w:cs="仿宋" w:hint="eastAsia"/>
                <w:b/>
                <w:bCs/>
                <w:sz w:val="28"/>
                <w:szCs w:val="28"/>
              </w:rPr>
              <w:t>风险防控措施</w:t>
            </w:r>
          </w:p>
        </w:tc>
      </w:tr>
      <w:tr w:rsidR="00883C54" w14:paraId="5CB41BF2" w14:textId="77777777">
        <w:trPr>
          <w:trHeight w:val="2444"/>
        </w:trPr>
        <w:tc>
          <w:tcPr>
            <w:tcW w:w="800" w:type="pct"/>
            <w:vAlign w:val="center"/>
          </w:tcPr>
          <w:p w14:paraId="65B1668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合同订立与审批</w:t>
            </w:r>
          </w:p>
        </w:tc>
        <w:tc>
          <w:tcPr>
            <w:tcW w:w="1733" w:type="pct"/>
          </w:tcPr>
          <w:p w14:paraId="61B6EDA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如果对合同对方的履约能力和商业信誉给出不恰当的评价，过高或过低，将不具备履约能力的对象确定为签约对象，可能引发经济合同潜在风险。</w:t>
            </w:r>
          </w:p>
        </w:tc>
        <w:tc>
          <w:tcPr>
            <w:tcW w:w="2466" w:type="pct"/>
          </w:tcPr>
          <w:p w14:paraId="41C9259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经岗办对合同进行充分调查，确保合同对方具有主体资格，资信情况、信誉和经营状况良好，具有较好的履约能力，以便减少合同违约风险。</w:t>
            </w:r>
          </w:p>
        </w:tc>
      </w:tr>
      <w:tr w:rsidR="00883C54" w14:paraId="5EEA22A6" w14:textId="77777777">
        <w:trPr>
          <w:trHeight w:val="2117"/>
        </w:trPr>
        <w:tc>
          <w:tcPr>
            <w:tcW w:w="800" w:type="pct"/>
            <w:vAlign w:val="center"/>
          </w:tcPr>
          <w:p w14:paraId="04A10A0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合同订立与审批</w:t>
            </w:r>
          </w:p>
        </w:tc>
        <w:tc>
          <w:tcPr>
            <w:tcW w:w="1733" w:type="pct"/>
          </w:tcPr>
          <w:p w14:paraId="310B673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如果合同内容和条款拟定缺乏合理性、严密性、完整性、明确性，或文字表述不严谨等，可能导致合同未准确表达谈判结果，造成重大误解。</w:t>
            </w:r>
          </w:p>
        </w:tc>
        <w:tc>
          <w:tcPr>
            <w:tcW w:w="2466" w:type="pct"/>
          </w:tcPr>
          <w:p w14:paraId="1D83A8A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经办岗起草合同文本确保准确表达谈判双方的真实意思，并且做到合同文本内容规范，合同相关法定要素齐全，文字表达准确，违约责任等关键条款明确。</w:t>
            </w:r>
          </w:p>
        </w:tc>
      </w:tr>
      <w:tr w:rsidR="00883C54" w14:paraId="7804D4CC" w14:textId="77777777">
        <w:trPr>
          <w:trHeight w:val="2834"/>
        </w:trPr>
        <w:tc>
          <w:tcPr>
            <w:tcW w:w="800" w:type="pct"/>
            <w:vAlign w:val="center"/>
          </w:tcPr>
          <w:p w14:paraId="5740308A"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合同履行与结算</w:t>
            </w:r>
          </w:p>
        </w:tc>
        <w:tc>
          <w:tcPr>
            <w:tcW w:w="1733" w:type="pct"/>
          </w:tcPr>
          <w:p w14:paraId="54931019"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如果单位未按照合同约定履行，如违反合同条款，或未按照合同规定的期限、金额和方式付款，可能导致单位经济利益遭受损失或面临诉讼的风险。</w:t>
            </w:r>
          </w:p>
        </w:tc>
        <w:tc>
          <w:tcPr>
            <w:tcW w:w="2466" w:type="pct"/>
          </w:tcPr>
          <w:p w14:paraId="28DD737D"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经办岗督促对方积极执行合同，确保合同全面有效履行。</w:t>
            </w:r>
          </w:p>
          <w:p w14:paraId="52A4452C"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岗按照</w:t>
            </w:r>
            <w:proofErr w:type="gramEnd"/>
            <w:r>
              <w:rPr>
                <w:rFonts w:ascii="宋体" w:hAnsi="宋体" w:cs="仿宋" w:hint="eastAsia"/>
                <w:bCs/>
                <w:szCs w:val="28"/>
              </w:rPr>
              <w:t>合同结算条款及时申请支付进度款或收货</w:t>
            </w:r>
            <w:r>
              <w:rPr>
                <w:rFonts w:ascii="宋体" w:hAnsi="宋体" w:cs="仿宋" w:hint="eastAsia"/>
                <w:bCs/>
                <w:szCs w:val="28"/>
              </w:rPr>
              <w:t>验收合格后申请支付结算款，确保单位利益不受损失。</w:t>
            </w:r>
          </w:p>
          <w:p w14:paraId="02FE7CC2"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合同结算申请经单位内部有效审核、审议后交财务支付款项。</w:t>
            </w:r>
          </w:p>
        </w:tc>
      </w:tr>
      <w:tr w:rsidR="00883C54" w14:paraId="148F7C8A" w14:textId="77777777">
        <w:trPr>
          <w:trHeight w:val="2818"/>
        </w:trPr>
        <w:tc>
          <w:tcPr>
            <w:tcW w:w="800" w:type="pct"/>
          </w:tcPr>
          <w:p w14:paraId="6C648A66"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681E585F"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合同纠纷调节与处理</w:t>
            </w:r>
          </w:p>
        </w:tc>
        <w:tc>
          <w:tcPr>
            <w:tcW w:w="1733" w:type="pct"/>
          </w:tcPr>
          <w:p w14:paraId="6F313550"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如果发生合同纠纷，未与合同对方有效协商合同纠纷解决方案，或合同纠纷解决方案未得到授权批准，未及时采取有效措施防止纠纷的扩大和恶化，可能导致合同纠纷处理不当，进而损害单位利益、信誉和形象。</w:t>
            </w:r>
          </w:p>
        </w:tc>
        <w:tc>
          <w:tcPr>
            <w:tcW w:w="2466" w:type="pct"/>
          </w:tcPr>
          <w:p w14:paraId="4DD7211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岗按照</w:t>
            </w:r>
            <w:proofErr w:type="gramEnd"/>
            <w:r>
              <w:rPr>
                <w:rFonts w:ascii="宋体" w:hAnsi="宋体" w:cs="仿宋" w:hint="eastAsia"/>
                <w:bCs/>
                <w:szCs w:val="28"/>
              </w:rPr>
              <w:t>国家相关法律法规及时解决合同履行中的纠纷，确保单位利益不受损失。</w:t>
            </w:r>
          </w:p>
          <w:p w14:paraId="511E5AD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双方对合同纠纷解决方案达成一致并形成合同纠纷解决协议，协议经单位内部有效审核、审议后，与合同对方签署并执行。</w:t>
            </w:r>
          </w:p>
        </w:tc>
      </w:tr>
      <w:tr w:rsidR="00883C54" w14:paraId="16270235" w14:textId="77777777">
        <w:trPr>
          <w:trHeight w:val="1641"/>
        </w:trPr>
        <w:tc>
          <w:tcPr>
            <w:tcW w:w="800" w:type="pct"/>
          </w:tcPr>
          <w:p w14:paraId="5FA987D5" w14:textId="77777777" w:rsidR="00883C54" w:rsidRDefault="00883C54">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p>
          <w:p w14:paraId="05CCDE15"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合同档案建立及归档</w:t>
            </w:r>
          </w:p>
        </w:tc>
        <w:tc>
          <w:tcPr>
            <w:tcW w:w="1733" w:type="pct"/>
          </w:tcPr>
          <w:p w14:paraId="1F708E18"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rPr>
                <w:rFonts w:ascii="宋体" w:hAnsi="宋体" w:cs="仿宋"/>
                <w:bCs/>
                <w:szCs w:val="28"/>
              </w:rPr>
            </w:pPr>
            <w:r>
              <w:rPr>
                <w:rFonts w:ascii="宋体" w:hAnsi="宋体" w:cs="仿宋" w:hint="eastAsia"/>
                <w:bCs/>
                <w:szCs w:val="28"/>
              </w:rPr>
              <w:t>如果合同及相关资料的登记、归档和保管不善，可能导致合同档案资料丢失，进而影响合同的正常履行和纠纷处理的举证工作。</w:t>
            </w:r>
          </w:p>
        </w:tc>
        <w:tc>
          <w:tcPr>
            <w:tcW w:w="2466" w:type="pct"/>
          </w:tcPr>
          <w:p w14:paraId="3C07E69E" w14:textId="77777777" w:rsidR="00883C54" w:rsidRDefault="007D136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宋体" w:hAnsi="宋体" w:cs="仿宋"/>
                <w:bCs/>
                <w:szCs w:val="28"/>
              </w:rPr>
            </w:pPr>
            <w:r>
              <w:rPr>
                <w:rFonts w:ascii="宋体" w:hAnsi="宋体" w:cs="仿宋" w:hint="eastAsia"/>
                <w:bCs/>
                <w:szCs w:val="28"/>
              </w:rPr>
              <w:t>经办</w:t>
            </w:r>
            <w:proofErr w:type="gramStart"/>
            <w:r>
              <w:rPr>
                <w:rFonts w:ascii="宋体" w:hAnsi="宋体" w:cs="仿宋" w:hint="eastAsia"/>
                <w:bCs/>
                <w:szCs w:val="28"/>
              </w:rPr>
              <w:t>岗确保</w:t>
            </w:r>
            <w:proofErr w:type="gramEnd"/>
            <w:r>
              <w:rPr>
                <w:rFonts w:ascii="宋体" w:hAnsi="宋体" w:cs="仿宋" w:hint="eastAsia"/>
                <w:bCs/>
                <w:szCs w:val="28"/>
              </w:rPr>
              <w:t>合同和相关文件资料及时归档和妥善保管，保证合同及其相关文件资料的安全、完整。</w:t>
            </w:r>
          </w:p>
        </w:tc>
      </w:tr>
    </w:tbl>
    <w:p w14:paraId="718C77AE" w14:textId="77777777" w:rsidR="00883C54" w:rsidRDefault="00883C54">
      <w:pPr>
        <w:spacing w:line="360" w:lineRule="auto"/>
        <w:jc w:val="both"/>
        <w:rPr>
          <w:rFonts w:ascii="宋体" w:hAnsi="宋体"/>
          <w:sz w:val="28"/>
        </w:rPr>
      </w:pPr>
    </w:p>
    <w:sectPr w:rsidR="00883C54">
      <w:pgSz w:w="11906" w:h="16838"/>
      <w:pgMar w:top="1440" w:right="1800" w:bottom="1440" w:left="1800" w:header="851" w:footer="992" w:gutter="0"/>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96D0" w14:textId="77777777" w:rsidR="007D136F" w:rsidRDefault="007D136F">
      <w:r>
        <w:separator/>
      </w:r>
    </w:p>
  </w:endnote>
  <w:endnote w:type="continuationSeparator" w:id="0">
    <w:p w14:paraId="64B23439" w14:textId="77777777" w:rsidR="007D136F" w:rsidRDefault="007D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ingFang SC">
    <w:altName w:val="微软雅黑"/>
    <w:charset w:val="86"/>
    <w:family w:val="swiss"/>
    <w:pitch w:val="default"/>
    <w:sig w:usb0="00000000" w:usb1="00000000"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F9BB" w14:textId="77777777" w:rsidR="00883C54" w:rsidRDefault="00883C54">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C5B" w14:textId="77777777" w:rsidR="00883C54" w:rsidRDefault="007D136F">
    <w:pPr>
      <w:pStyle w:val="a9"/>
      <w:ind w:firstLine="360"/>
      <w:jc w:val="center"/>
    </w:pPr>
    <w:r>
      <w:fldChar w:fldCharType="begin"/>
    </w:r>
    <w:r>
      <w:instrText>PAGE   \* MERGEFORMAT</w:instrText>
    </w:r>
    <w:r>
      <w:fldChar w:fldCharType="separate"/>
    </w:r>
    <w:r>
      <w:rPr>
        <w:lang w:val="zh-CN"/>
      </w:rPr>
      <w:t>1</w:t>
    </w:r>
    <w:r>
      <w:fldChar w:fldCharType="end"/>
    </w:r>
  </w:p>
  <w:p w14:paraId="4B3F6AFF" w14:textId="77777777" w:rsidR="00883C54" w:rsidRDefault="00883C54">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0ACD" w14:textId="77777777" w:rsidR="00883C54" w:rsidRDefault="00883C54">
    <w:pPr>
      <w:pStyle w:val="a9"/>
      <w:ind w:firstLine="360"/>
      <w:jc w:val="center"/>
    </w:pPr>
  </w:p>
  <w:p w14:paraId="359C4B64" w14:textId="77777777" w:rsidR="00883C54" w:rsidRDefault="00883C54">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209470"/>
    </w:sdtPr>
    <w:sdtEndPr/>
    <w:sdtContent>
      <w:p w14:paraId="6CB6A1DD" w14:textId="77777777" w:rsidR="00883C54" w:rsidRDefault="007D136F">
        <w:pPr>
          <w:pStyle w:val="a9"/>
          <w:ind w:firstLine="360"/>
          <w:jc w:val="center"/>
        </w:pPr>
        <w:r>
          <w:fldChar w:fldCharType="begin"/>
        </w:r>
        <w:r>
          <w:instrText>PAGE   \* MERGEFORMAT</w:instrText>
        </w:r>
        <w:r>
          <w:fldChar w:fldCharType="separate"/>
        </w:r>
        <w:r>
          <w:rPr>
            <w:lang w:val="zh-CN"/>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2A26" w14:textId="77777777" w:rsidR="007D136F" w:rsidRDefault="007D136F">
      <w:r>
        <w:separator/>
      </w:r>
    </w:p>
  </w:footnote>
  <w:footnote w:type="continuationSeparator" w:id="0">
    <w:p w14:paraId="487BA542" w14:textId="77777777" w:rsidR="007D136F" w:rsidRDefault="007D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5361" w14:textId="77777777" w:rsidR="00883C54" w:rsidRDefault="00883C54">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95A8" w14:textId="77777777" w:rsidR="00883C54" w:rsidRDefault="00883C54">
    <w:pPr>
      <w:pStyle w:val="ab"/>
      <w:ind w:firstLine="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4C67" w14:textId="77777777" w:rsidR="00883C54" w:rsidRDefault="00883C54">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F5E3" w14:textId="77777777" w:rsidR="00883C54" w:rsidRDefault="007D136F">
    <w:pPr>
      <w:pStyle w:val="ab"/>
      <w:pBdr>
        <w:bottom w:val="single" w:sz="4" w:space="0" w:color="auto"/>
      </w:pBdr>
      <w:spacing w:line="240" w:lineRule="auto"/>
      <w:ind w:firstLineChars="0" w:firstLine="0"/>
      <w:jc w:val="right"/>
      <w:rPr>
        <w:sz w:val="21"/>
        <w:szCs w:val="21"/>
      </w:rPr>
    </w:pPr>
    <w:r>
      <w:rPr>
        <w:rFonts w:hint="eastAsia"/>
        <w:sz w:val="21"/>
        <w:szCs w:val="21"/>
      </w:rPr>
      <w:t>内部控制风险评估报告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381"/>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6790"/>
    <w:rsid w:val="000012D2"/>
    <w:rsid w:val="000026C9"/>
    <w:rsid w:val="0000359A"/>
    <w:rsid w:val="000037E3"/>
    <w:rsid w:val="0000430A"/>
    <w:rsid w:val="0000489D"/>
    <w:rsid w:val="0000492F"/>
    <w:rsid w:val="000056B3"/>
    <w:rsid w:val="000075BE"/>
    <w:rsid w:val="000077A6"/>
    <w:rsid w:val="00011BCE"/>
    <w:rsid w:val="00012CBC"/>
    <w:rsid w:val="00013573"/>
    <w:rsid w:val="00013E71"/>
    <w:rsid w:val="00015A40"/>
    <w:rsid w:val="0001648C"/>
    <w:rsid w:val="000165CC"/>
    <w:rsid w:val="00016B56"/>
    <w:rsid w:val="0001722C"/>
    <w:rsid w:val="00017D79"/>
    <w:rsid w:val="000222CC"/>
    <w:rsid w:val="000228AB"/>
    <w:rsid w:val="00023767"/>
    <w:rsid w:val="0002446E"/>
    <w:rsid w:val="00025598"/>
    <w:rsid w:val="000264D3"/>
    <w:rsid w:val="00030650"/>
    <w:rsid w:val="00033545"/>
    <w:rsid w:val="00034C13"/>
    <w:rsid w:val="000368EA"/>
    <w:rsid w:val="00044D37"/>
    <w:rsid w:val="000452A2"/>
    <w:rsid w:val="0005070F"/>
    <w:rsid w:val="0005081D"/>
    <w:rsid w:val="0005488C"/>
    <w:rsid w:val="00055426"/>
    <w:rsid w:val="0005754A"/>
    <w:rsid w:val="0006181D"/>
    <w:rsid w:val="00062435"/>
    <w:rsid w:val="000633D6"/>
    <w:rsid w:val="000645AA"/>
    <w:rsid w:val="00064613"/>
    <w:rsid w:val="00064E61"/>
    <w:rsid w:val="00065045"/>
    <w:rsid w:val="000655D6"/>
    <w:rsid w:val="00065A8C"/>
    <w:rsid w:val="00067CB1"/>
    <w:rsid w:val="00071C4E"/>
    <w:rsid w:val="00072546"/>
    <w:rsid w:val="0007270E"/>
    <w:rsid w:val="00075AF2"/>
    <w:rsid w:val="00075D84"/>
    <w:rsid w:val="00076E0E"/>
    <w:rsid w:val="00081FB1"/>
    <w:rsid w:val="0008270A"/>
    <w:rsid w:val="000831D2"/>
    <w:rsid w:val="00083FC2"/>
    <w:rsid w:val="0008435F"/>
    <w:rsid w:val="000864C9"/>
    <w:rsid w:val="0008654F"/>
    <w:rsid w:val="00087026"/>
    <w:rsid w:val="00087ABE"/>
    <w:rsid w:val="000A076F"/>
    <w:rsid w:val="000A4A0B"/>
    <w:rsid w:val="000A4EB5"/>
    <w:rsid w:val="000B0924"/>
    <w:rsid w:val="000B0EA3"/>
    <w:rsid w:val="000B139E"/>
    <w:rsid w:val="000B4419"/>
    <w:rsid w:val="000B4767"/>
    <w:rsid w:val="000B6100"/>
    <w:rsid w:val="000B6D71"/>
    <w:rsid w:val="000B7F38"/>
    <w:rsid w:val="000C0F5B"/>
    <w:rsid w:val="000C2B06"/>
    <w:rsid w:val="000C6A47"/>
    <w:rsid w:val="000C6F2D"/>
    <w:rsid w:val="000C7FA6"/>
    <w:rsid w:val="000D0518"/>
    <w:rsid w:val="000D054E"/>
    <w:rsid w:val="000D1E2B"/>
    <w:rsid w:val="000D2567"/>
    <w:rsid w:val="000D2BCC"/>
    <w:rsid w:val="000D2D2C"/>
    <w:rsid w:val="000D34F5"/>
    <w:rsid w:val="000D7FAC"/>
    <w:rsid w:val="000E189F"/>
    <w:rsid w:val="000E23BC"/>
    <w:rsid w:val="000E3147"/>
    <w:rsid w:val="000E427A"/>
    <w:rsid w:val="000E573C"/>
    <w:rsid w:val="000F20B5"/>
    <w:rsid w:val="000F2D5E"/>
    <w:rsid w:val="000F2DCD"/>
    <w:rsid w:val="000F3342"/>
    <w:rsid w:val="000F3EF6"/>
    <w:rsid w:val="000F4D4F"/>
    <w:rsid w:val="000F52E9"/>
    <w:rsid w:val="000F5B6E"/>
    <w:rsid w:val="000F61B3"/>
    <w:rsid w:val="000F6860"/>
    <w:rsid w:val="000F7110"/>
    <w:rsid w:val="001009B6"/>
    <w:rsid w:val="0010225E"/>
    <w:rsid w:val="00103AA5"/>
    <w:rsid w:val="0010631A"/>
    <w:rsid w:val="001076D6"/>
    <w:rsid w:val="00107E2C"/>
    <w:rsid w:val="0011040E"/>
    <w:rsid w:val="0011054B"/>
    <w:rsid w:val="001108B7"/>
    <w:rsid w:val="001109AE"/>
    <w:rsid w:val="00111A84"/>
    <w:rsid w:val="001120B1"/>
    <w:rsid w:val="00113044"/>
    <w:rsid w:val="0011480C"/>
    <w:rsid w:val="00116986"/>
    <w:rsid w:val="00117AD8"/>
    <w:rsid w:val="00117FCD"/>
    <w:rsid w:val="00120837"/>
    <w:rsid w:val="00122188"/>
    <w:rsid w:val="00122352"/>
    <w:rsid w:val="00123AEF"/>
    <w:rsid w:val="00125265"/>
    <w:rsid w:val="0012527F"/>
    <w:rsid w:val="00126A61"/>
    <w:rsid w:val="0012776A"/>
    <w:rsid w:val="00130046"/>
    <w:rsid w:val="00132101"/>
    <w:rsid w:val="001325CC"/>
    <w:rsid w:val="00133AD8"/>
    <w:rsid w:val="00133D7E"/>
    <w:rsid w:val="0013516A"/>
    <w:rsid w:val="001354BA"/>
    <w:rsid w:val="00137371"/>
    <w:rsid w:val="00140260"/>
    <w:rsid w:val="001404C4"/>
    <w:rsid w:val="0014117A"/>
    <w:rsid w:val="001416B2"/>
    <w:rsid w:val="001417B2"/>
    <w:rsid w:val="001428CB"/>
    <w:rsid w:val="0014631E"/>
    <w:rsid w:val="00146AE7"/>
    <w:rsid w:val="0015024B"/>
    <w:rsid w:val="00150C44"/>
    <w:rsid w:val="00151228"/>
    <w:rsid w:val="001517B1"/>
    <w:rsid w:val="00151C7D"/>
    <w:rsid w:val="0015297C"/>
    <w:rsid w:val="00152A62"/>
    <w:rsid w:val="00156D95"/>
    <w:rsid w:val="00157270"/>
    <w:rsid w:val="00157D1E"/>
    <w:rsid w:val="00160A2D"/>
    <w:rsid w:val="00164AFD"/>
    <w:rsid w:val="00170E6A"/>
    <w:rsid w:val="00170E76"/>
    <w:rsid w:val="00173462"/>
    <w:rsid w:val="00173C22"/>
    <w:rsid w:val="00174677"/>
    <w:rsid w:val="00176D11"/>
    <w:rsid w:val="001771FC"/>
    <w:rsid w:val="001774B5"/>
    <w:rsid w:val="001801C6"/>
    <w:rsid w:val="001813E9"/>
    <w:rsid w:val="001822B1"/>
    <w:rsid w:val="00183CA0"/>
    <w:rsid w:val="00184D39"/>
    <w:rsid w:val="00185F6F"/>
    <w:rsid w:val="00185FBD"/>
    <w:rsid w:val="001867CE"/>
    <w:rsid w:val="00190405"/>
    <w:rsid w:val="001904A9"/>
    <w:rsid w:val="001915B7"/>
    <w:rsid w:val="00191928"/>
    <w:rsid w:val="00191DCE"/>
    <w:rsid w:val="00193475"/>
    <w:rsid w:val="00193EB5"/>
    <w:rsid w:val="00193FAB"/>
    <w:rsid w:val="00194818"/>
    <w:rsid w:val="0019598A"/>
    <w:rsid w:val="001A03EC"/>
    <w:rsid w:val="001A137F"/>
    <w:rsid w:val="001A1A24"/>
    <w:rsid w:val="001A2F31"/>
    <w:rsid w:val="001A55D2"/>
    <w:rsid w:val="001A6815"/>
    <w:rsid w:val="001A6F48"/>
    <w:rsid w:val="001B0478"/>
    <w:rsid w:val="001B2B61"/>
    <w:rsid w:val="001B454E"/>
    <w:rsid w:val="001B4CBA"/>
    <w:rsid w:val="001B59AA"/>
    <w:rsid w:val="001B679F"/>
    <w:rsid w:val="001B6D95"/>
    <w:rsid w:val="001B7EA9"/>
    <w:rsid w:val="001C2D5C"/>
    <w:rsid w:val="001C3073"/>
    <w:rsid w:val="001C49D4"/>
    <w:rsid w:val="001C5366"/>
    <w:rsid w:val="001C7B58"/>
    <w:rsid w:val="001D012B"/>
    <w:rsid w:val="001D02E6"/>
    <w:rsid w:val="001D0529"/>
    <w:rsid w:val="001D0545"/>
    <w:rsid w:val="001D0988"/>
    <w:rsid w:val="001D1853"/>
    <w:rsid w:val="001D197C"/>
    <w:rsid w:val="001D1BBE"/>
    <w:rsid w:val="001D2AD6"/>
    <w:rsid w:val="001D62A9"/>
    <w:rsid w:val="001E27F8"/>
    <w:rsid w:val="001E2FA9"/>
    <w:rsid w:val="001E492F"/>
    <w:rsid w:val="001E780E"/>
    <w:rsid w:val="001E7AB8"/>
    <w:rsid w:val="001F2967"/>
    <w:rsid w:val="001F2C99"/>
    <w:rsid w:val="001F569E"/>
    <w:rsid w:val="001F5731"/>
    <w:rsid w:val="001F6241"/>
    <w:rsid w:val="001F6634"/>
    <w:rsid w:val="001F7E43"/>
    <w:rsid w:val="001F7FCF"/>
    <w:rsid w:val="00200B0B"/>
    <w:rsid w:val="0020151C"/>
    <w:rsid w:val="00203338"/>
    <w:rsid w:val="00204770"/>
    <w:rsid w:val="00207926"/>
    <w:rsid w:val="00207D4F"/>
    <w:rsid w:val="00207E2A"/>
    <w:rsid w:val="00210A20"/>
    <w:rsid w:val="00210C31"/>
    <w:rsid w:val="00211FB4"/>
    <w:rsid w:val="002121BA"/>
    <w:rsid w:val="00215AFC"/>
    <w:rsid w:val="002172AD"/>
    <w:rsid w:val="002177E5"/>
    <w:rsid w:val="00222DC7"/>
    <w:rsid w:val="00224116"/>
    <w:rsid w:val="0022482D"/>
    <w:rsid w:val="00225403"/>
    <w:rsid w:val="002255ED"/>
    <w:rsid w:val="00227307"/>
    <w:rsid w:val="00227E18"/>
    <w:rsid w:val="00230713"/>
    <w:rsid w:val="002316EE"/>
    <w:rsid w:val="002332D2"/>
    <w:rsid w:val="00235CC3"/>
    <w:rsid w:val="00236DC4"/>
    <w:rsid w:val="002408B2"/>
    <w:rsid w:val="00241475"/>
    <w:rsid w:val="002419EF"/>
    <w:rsid w:val="00245DD2"/>
    <w:rsid w:val="00246262"/>
    <w:rsid w:val="0024737F"/>
    <w:rsid w:val="00247394"/>
    <w:rsid w:val="0025268A"/>
    <w:rsid w:val="00261AF8"/>
    <w:rsid w:val="00264567"/>
    <w:rsid w:val="0026493B"/>
    <w:rsid w:val="00265057"/>
    <w:rsid w:val="00267901"/>
    <w:rsid w:val="00272BBA"/>
    <w:rsid w:val="002762D6"/>
    <w:rsid w:val="00283C4C"/>
    <w:rsid w:val="002854C9"/>
    <w:rsid w:val="00286790"/>
    <w:rsid w:val="00286957"/>
    <w:rsid w:val="00293536"/>
    <w:rsid w:val="00294AB1"/>
    <w:rsid w:val="00295DCD"/>
    <w:rsid w:val="002965F1"/>
    <w:rsid w:val="002969D5"/>
    <w:rsid w:val="002A130D"/>
    <w:rsid w:val="002A3650"/>
    <w:rsid w:val="002A419E"/>
    <w:rsid w:val="002A42A8"/>
    <w:rsid w:val="002A56C6"/>
    <w:rsid w:val="002B1E80"/>
    <w:rsid w:val="002B28F5"/>
    <w:rsid w:val="002B443A"/>
    <w:rsid w:val="002B5B23"/>
    <w:rsid w:val="002B679E"/>
    <w:rsid w:val="002B791A"/>
    <w:rsid w:val="002C1195"/>
    <w:rsid w:val="002C3CDC"/>
    <w:rsid w:val="002C4886"/>
    <w:rsid w:val="002D0321"/>
    <w:rsid w:val="002D18E6"/>
    <w:rsid w:val="002D2540"/>
    <w:rsid w:val="002D5623"/>
    <w:rsid w:val="002D6835"/>
    <w:rsid w:val="002D705B"/>
    <w:rsid w:val="002E13A9"/>
    <w:rsid w:val="002E2EE8"/>
    <w:rsid w:val="002E5322"/>
    <w:rsid w:val="002E579F"/>
    <w:rsid w:val="002E58E4"/>
    <w:rsid w:val="002E74FD"/>
    <w:rsid w:val="002E7BB9"/>
    <w:rsid w:val="002F0FDB"/>
    <w:rsid w:val="002F0FDD"/>
    <w:rsid w:val="002F1033"/>
    <w:rsid w:val="002F2E47"/>
    <w:rsid w:val="002F3EE6"/>
    <w:rsid w:val="002F3FE4"/>
    <w:rsid w:val="002F5906"/>
    <w:rsid w:val="002F6C88"/>
    <w:rsid w:val="002F70E0"/>
    <w:rsid w:val="00300B59"/>
    <w:rsid w:val="00301617"/>
    <w:rsid w:val="00301792"/>
    <w:rsid w:val="0030210B"/>
    <w:rsid w:val="00303E94"/>
    <w:rsid w:val="003057AD"/>
    <w:rsid w:val="00307CE2"/>
    <w:rsid w:val="00310A6E"/>
    <w:rsid w:val="00316731"/>
    <w:rsid w:val="0031734D"/>
    <w:rsid w:val="00317AA3"/>
    <w:rsid w:val="00321E9D"/>
    <w:rsid w:val="00323562"/>
    <w:rsid w:val="00325F5D"/>
    <w:rsid w:val="003261B7"/>
    <w:rsid w:val="00330C0D"/>
    <w:rsid w:val="00331D77"/>
    <w:rsid w:val="0033268D"/>
    <w:rsid w:val="0033607F"/>
    <w:rsid w:val="0033685C"/>
    <w:rsid w:val="00336A16"/>
    <w:rsid w:val="003405AA"/>
    <w:rsid w:val="00340C4F"/>
    <w:rsid w:val="00341D72"/>
    <w:rsid w:val="00342D8D"/>
    <w:rsid w:val="00344D74"/>
    <w:rsid w:val="003466CB"/>
    <w:rsid w:val="0034722E"/>
    <w:rsid w:val="00350277"/>
    <w:rsid w:val="003516DC"/>
    <w:rsid w:val="00352658"/>
    <w:rsid w:val="003538DA"/>
    <w:rsid w:val="00354F4D"/>
    <w:rsid w:val="00356830"/>
    <w:rsid w:val="00357472"/>
    <w:rsid w:val="00360D01"/>
    <w:rsid w:val="003617B6"/>
    <w:rsid w:val="00361837"/>
    <w:rsid w:val="0036240B"/>
    <w:rsid w:val="003630D5"/>
    <w:rsid w:val="00365CF4"/>
    <w:rsid w:val="00371199"/>
    <w:rsid w:val="003717C8"/>
    <w:rsid w:val="0037263B"/>
    <w:rsid w:val="003726CD"/>
    <w:rsid w:val="00373C33"/>
    <w:rsid w:val="0037689C"/>
    <w:rsid w:val="00377F56"/>
    <w:rsid w:val="003807D0"/>
    <w:rsid w:val="003808C4"/>
    <w:rsid w:val="00380F84"/>
    <w:rsid w:val="003820DD"/>
    <w:rsid w:val="0038240C"/>
    <w:rsid w:val="00382A5B"/>
    <w:rsid w:val="00384AB7"/>
    <w:rsid w:val="00386B01"/>
    <w:rsid w:val="00387A67"/>
    <w:rsid w:val="00387FB0"/>
    <w:rsid w:val="003900BD"/>
    <w:rsid w:val="003900CA"/>
    <w:rsid w:val="003915C1"/>
    <w:rsid w:val="00391A0E"/>
    <w:rsid w:val="00393FA7"/>
    <w:rsid w:val="00396749"/>
    <w:rsid w:val="00396BE0"/>
    <w:rsid w:val="003A2076"/>
    <w:rsid w:val="003A2A5A"/>
    <w:rsid w:val="003A3897"/>
    <w:rsid w:val="003A3AAB"/>
    <w:rsid w:val="003A4A35"/>
    <w:rsid w:val="003A69D0"/>
    <w:rsid w:val="003A7153"/>
    <w:rsid w:val="003B5637"/>
    <w:rsid w:val="003B60D7"/>
    <w:rsid w:val="003C0196"/>
    <w:rsid w:val="003C1484"/>
    <w:rsid w:val="003C14EA"/>
    <w:rsid w:val="003C6CA7"/>
    <w:rsid w:val="003D0E72"/>
    <w:rsid w:val="003D1564"/>
    <w:rsid w:val="003D1BFE"/>
    <w:rsid w:val="003D2D00"/>
    <w:rsid w:val="003D2D2B"/>
    <w:rsid w:val="003D456C"/>
    <w:rsid w:val="003D526B"/>
    <w:rsid w:val="003D760F"/>
    <w:rsid w:val="003E0173"/>
    <w:rsid w:val="003E173A"/>
    <w:rsid w:val="003E41FE"/>
    <w:rsid w:val="003E4FBE"/>
    <w:rsid w:val="003E72CC"/>
    <w:rsid w:val="003E7DE7"/>
    <w:rsid w:val="003F065D"/>
    <w:rsid w:val="003F2816"/>
    <w:rsid w:val="003F41CA"/>
    <w:rsid w:val="003F4413"/>
    <w:rsid w:val="003F447C"/>
    <w:rsid w:val="003F5FE8"/>
    <w:rsid w:val="003F6D99"/>
    <w:rsid w:val="003F7F72"/>
    <w:rsid w:val="00402B46"/>
    <w:rsid w:val="00402FA3"/>
    <w:rsid w:val="004049D6"/>
    <w:rsid w:val="00404CDA"/>
    <w:rsid w:val="00404D27"/>
    <w:rsid w:val="00406074"/>
    <w:rsid w:val="00406318"/>
    <w:rsid w:val="00406BD2"/>
    <w:rsid w:val="00407130"/>
    <w:rsid w:val="00407227"/>
    <w:rsid w:val="0040759A"/>
    <w:rsid w:val="0041196A"/>
    <w:rsid w:val="00413664"/>
    <w:rsid w:val="00415BD6"/>
    <w:rsid w:val="00416629"/>
    <w:rsid w:val="0041676C"/>
    <w:rsid w:val="004167FC"/>
    <w:rsid w:val="00421197"/>
    <w:rsid w:val="0042285C"/>
    <w:rsid w:val="00422BC4"/>
    <w:rsid w:val="00424B0C"/>
    <w:rsid w:val="00424CA7"/>
    <w:rsid w:val="00427DC9"/>
    <w:rsid w:val="004308BC"/>
    <w:rsid w:val="00432047"/>
    <w:rsid w:val="00434AA9"/>
    <w:rsid w:val="00434D2E"/>
    <w:rsid w:val="004352B2"/>
    <w:rsid w:val="00437309"/>
    <w:rsid w:val="0044081E"/>
    <w:rsid w:val="00440ED6"/>
    <w:rsid w:val="00441134"/>
    <w:rsid w:val="00441AF9"/>
    <w:rsid w:val="004421B1"/>
    <w:rsid w:val="00446FE4"/>
    <w:rsid w:val="004475F9"/>
    <w:rsid w:val="00451328"/>
    <w:rsid w:val="0045159D"/>
    <w:rsid w:val="004525A6"/>
    <w:rsid w:val="004527C5"/>
    <w:rsid w:val="004527D7"/>
    <w:rsid w:val="0045342C"/>
    <w:rsid w:val="00456A45"/>
    <w:rsid w:val="00456C8A"/>
    <w:rsid w:val="00457579"/>
    <w:rsid w:val="00460664"/>
    <w:rsid w:val="00463499"/>
    <w:rsid w:val="00464983"/>
    <w:rsid w:val="00473104"/>
    <w:rsid w:val="004744FF"/>
    <w:rsid w:val="00477195"/>
    <w:rsid w:val="00477A34"/>
    <w:rsid w:val="00482987"/>
    <w:rsid w:val="004830AB"/>
    <w:rsid w:val="00483B44"/>
    <w:rsid w:val="00484D67"/>
    <w:rsid w:val="004858C8"/>
    <w:rsid w:val="004863C4"/>
    <w:rsid w:val="00486432"/>
    <w:rsid w:val="0048659C"/>
    <w:rsid w:val="0049022F"/>
    <w:rsid w:val="00490EB8"/>
    <w:rsid w:val="004914FA"/>
    <w:rsid w:val="00491898"/>
    <w:rsid w:val="004953CF"/>
    <w:rsid w:val="00496DD8"/>
    <w:rsid w:val="00497F77"/>
    <w:rsid w:val="004A143A"/>
    <w:rsid w:val="004A3D84"/>
    <w:rsid w:val="004A3F8C"/>
    <w:rsid w:val="004A7A81"/>
    <w:rsid w:val="004B055D"/>
    <w:rsid w:val="004B24A5"/>
    <w:rsid w:val="004B290F"/>
    <w:rsid w:val="004B4B92"/>
    <w:rsid w:val="004B73C9"/>
    <w:rsid w:val="004C0CAD"/>
    <w:rsid w:val="004C23F7"/>
    <w:rsid w:val="004C2447"/>
    <w:rsid w:val="004C3FFA"/>
    <w:rsid w:val="004C4C7C"/>
    <w:rsid w:val="004C74C8"/>
    <w:rsid w:val="004C7C74"/>
    <w:rsid w:val="004C7CD8"/>
    <w:rsid w:val="004D34F8"/>
    <w:rsid w:val="004D43B3"/>
    <w:rsid w:val="004D5F8F"/>
    <w:rsid w:val="004D62F1"/>
    <w:rsid w:val="004D69C2"/>
    <w:rsid w:val="004D6ABA"/>
    <w:rsid w:val="004E3986"/>
    <w:rsid w:val="004E3F48"/>
    <w:rsid w:val="004F0B84"/>
    <w:rsid w:val="004F0C09"/>
    <w:rsid w:val="004F0DC8"/>
    <w:rsid w:val="004F39B1"/>
    <w:rsid w:val="005001D4"/>
    <w:rsid w:val="005028FD"/>
    <w:rsid w:val="00504A03"/>
    <w:rsid w:val="00506D22"/>
    <w:rsid w:val="00507174"/>
    <w:rsid w:val="005071FF"/>
    <w:rsid w:val="00507B7F"/>
    <w:rsid w:val="00511CAC"/>
    <w:rsid w:val="0051389A"/>
    <w:rsid w:val="0051488F"/>
    <w:rsid w:val="00514A9D"/>
    <w:rsid w:val="00514C6B"/>
    <w:rsid w:val="00516193"/>
    <w:rsid w:val="00520BF0"/>
    <w:rsid w:val="00521531"/>
    <w:rsid w:val="005238F0"/>
    <w:rsid w:val="00525503"/>
    <w:rsid w:val="00526405"/>
    <w:rsid w:val="00526AB2"/>
    <w:rsid w:val="005271B3"/>
    <w:rsid w:val="00530640"/>
    <w:rsid w:val="005320A4"/>
    <w:rsid w:val="00532594"/>
    <w:rsid w:val="005328B1"/>
    <w:rsid w:val="00534FBF"/>
    <w:rsid w:val="0054011D"/>
    <w:rsid w:val="0054012A"/>
    <w:rsid w:val="0054016D"/>
    <w:rsid w:val="00541E39"/>
    <w:rsid w:val="005425F2"/>
    <w:rsid w:val="00542FEB"/>
    <w:rsid w:val="0054382D"/>
    <w:rsid w:val="00546EF0"/>
    <w:rsid w:val="005476C4"/>
    <w:rsid w:val="00552229"/>
    <w:rsid w:val="00552545"/>
    <w:rsid w:val="00553991"/>
    <w:rsid w:val="00556974"/>
    <w:rsid w:val="00556DFC"/>
    <w:rsid w:val="005571D3"/>
    <w:rsid w:val="00557D5A"/>
    <w:rsid w:val="00557E9E"/>
    <w:rsid w:val="00560C20"/>
    <w:rsid w:val="005630E5"/>
    <w:rsid w:val="0056485C"/>
    <w:rsid w:val="00565F8B"/>
    <w:rsid w:val="00570CC9"/>
    <w:rsid w:val="00571651"/>
    <w:rsid w:val="00571AAE"/>
    <w:rsid w:val="00572C00"/>
    <w:rsid w:val="00572CEB"/>
    <w:rsid w:val="00573486"/>
    <w:rsid w:val="00573E08"/>
    <w:rsid w:val="00575954"/>
    <w:rsid w:val="00577163"/>
    <w:rsid w:val="0057780B"/>
    <w:rsid w:val="00582DE7"/>
    <w:rsid w:val="00583BD2"/>
    <w:rsid w:val="00583FA9"/>
    <w:rsid w:val="00585243"/>
    <w:rsid w:val="005855B4"/>
    <w:rsid w:val="0058630F"/>
    <w:rsid w:val="00586B82"/>
    <w:rsid w:val="005871AA"/>
    <w:rsid w:val="0059257A"/>
    <w:rsid w:val="0059397B"/>
    <w:rsid w:val="00593D63"/>
    <w:rsid w:val="00594ACD"/>
    <w:rsid w:val="005963CE"/>
    <w:rsid w:val="005970A4"/>
    <w:rsid w:val="005A1294"/>
    <w:rsid w:val="005A13B6"/>
    <w:rsid w:val="005A3684"/>
    <w:rsid w:val="005A3B29"/>
    <w:rsid w:val="005B07A3"/>
    <w:rsid w:val="005B0F98"/>
    <w:rsid w:val="005B344D"/>
    <w:rsid w:val="005B5065"/>
    <w:rsid w:val="005B5C2D"/>
    <w:rsid w:val="005B6438"/>
    <w:rsid w:val="005B7358"/>
    <w:rsid w:val="005C148F"/>
    <w:rsid w:val="005C1FB3"/>
    <w:rsid w:val="005C3A99"/>
    <w:rsid w:val="005C42A4"/>
    <w:rsid w:val="005C50AB"/>
    <w:rsid w:val="005C59CD"/>
    <w:rsid w:val="005C6A60"/>
    <w:rsid w:val="005D0267"/>
    <w:rsid w:val="005D0509"/>
    <w:rsid w:val="005D06DC"/>
    <w:rsid w:val="005D1B98"/>
    <w:rsid w:val="005D2B35"/>
    <w:rsid w:val="005D36FC"/>
    <w:rsid w:val="005D39D8"/>
    <w:rsid w:val="005D47F5"/>
    <w:rsid w:val="005D54B1"/>
    <w:rsid w:val="005D5A42"/>
    <w:rsid w:val="005D75CF"/>
    <w:rsid w:val="005E0D88"/>
    <w:rsid w:val="005E2F30"/>
    <w:rsid w:val="005E322E"/>
    <w:rsid w:val="005E49B8"/>
    <w:rsid w:val="005E4D10"/>
    <w:rsid w:val="005E6CCE"/>
    <w:rsid w:val="005E7F0C"/>
    <w:rsid w:val="005F1358"/>
    <w:rsid w:val="005F1A0D"/>
    <w:rsid w:val="005F2C75"/>
    <w:rsid w:val="005F5593"/>
    <w:rsid w:val="005F5FF4"/>
    <w:rsid w:val="005F6D51"/>
    <w:rsid w:val="00600236"/>
    <w:rsid w:val="0060163B"/>
    <w:rsid w:val="00601F7C"/>
    <w:rsid w:val="00602672"/>
    <w:rsid w:val="00602C83"/>
    <w:rsid w:val="00602FC9"/>
    <w:rsid w:val="0060373A"/>
    <w:rsid w:val="006037D8"/>
    <w:rsid w:val="00605309"/>
    <w:rsid w:val="00606403"/>
    <w:rsid w:val="00607BD7"/>
    <w:rsid w:val="00612344"/>
    <w:rsid w:val="006129D5"/>
    <w:rsid w:val="00613F70"/>
    <w:rsid w:val="00615CBE"/>
    <w:rsid w:val="00616136"/>
    <w:rsid w:val="00617377"/>
    <w:rsid w:val="00620EFC"/>
    <w:rsid w:val="0062388A"/>
    <w:rsid w:val="006238E5"/>
    <w:rsid w:val="00623BEC"/>
    <w:rsid w:val="00623DF4"/>
    <w:rsid w:val="00625E12"/>
    <w:rsid w:val="00626371"/>
    <w:rsid w:val="006263BA"/>
    <w:rsid w:val="00627041"/>
    <w:rsid w:val="00630FFF"/>
    <w:rsid w:val="0063379E"/>
    <w:rsid w:val="006338DA"/>
    <w:rsid w:val="00633E5B"/>
    <w:rsid w:val="00635729"/>
    <w:rsid w:val="00637550"/>
    <w:rsid w:val="00640BEE"/>
    <w:rsid w:val="0064102C"/>
    <w:rsid w:val="006413B2"/>
    <w:rsid w:val="00641B51"/>
    <w:rsid w:val="00643CF9"/>
    <w:rsid w:val="00644334"/>
    <w:rsid w:val="00646825"/>
    <w:rsid w:val="00647945"/>
    <w:rsid w:val="006502B6"/>
    <w:rsid w:val="00650E1D"/>
    <w:rsid w:val="00651F7C"/>
    <w:rsid w:val="0065529C"/>
    <w:rsid w:val="00655EB5"/>
    <w:rsid w:val="00656F08"/>
    <w:rsid w:val="0066050D"/>
    <w:rsid w:val="00660B57"/>
    <w:rsid w:val="00660D8F"/>
    <w:rsid w:val="00662450"/>
    <w:rsid w:val="00662609"/>
    <w:rsid w:val="006647AF"/>
    <w:rsid w:val="006704EB"/>
    <w:rsid w:val="00673941"/>
    <w:rsid w:val="00675C03"/>
    <w:rsid w:val="00676200"/>
    <w:rsid w:val="00676256"/>
    <w:rsid w:val="00676F80"/>
    <w:rsid w:val="006807BB"/>
    <w:rsid w:val="006815CE"/>
    <w:rsid w:val="00683811"/>
    <w:rsid w:val="00683C35"/>
    <w:rsid w:val="006844F1"/>
    <w:rsid w:val="00684F53"/>
    <w:rsid w:val="006855B0"/>
    <w:rsid w:val="006856FB"/>
    <w:rsid w:val="00686275"/>
    <w:rsid w:val="0068685F"/>
    <w:rsid w:val="00686C04"/>
    <w:rsid w:val="0069073D"/>
    <w:rsid w:val="00691A6C"/>
    <w:rsid w:val="006928ED"/>
    <w:rsid w:val="00696C45"/>
    <w:rsid w:val="006A0A54"/>
    <w:rsid w:val="006A0D6C"/>
    <w:rsid w:val="006A1886"/>
    <w:rsid w:val="006A27D8"/>
    <w:rsid w:val="006A2B4C"/>
    <w:rsid w:val="006A2CB6"/>
    <w:rsid w:val="006A3354"/>
    <w:rsid w:val="006A3BE2"/>
    <w:rsid w:val="006A59CA"/>
    <w:rsid w:val="006A5CF3"/>
    <w:rsid w:val="006A5D8D"/>
    <w:rsid w:val="006A74C1"/>
    <w:rsid w:val="006B10FF"/>
    <w:rsid w:val="006B2171"/>
    <w:rsid w:val="006B3E3D"/>
    <w:rsid w:val="006B3FDA"/>
    <w:rsid w:val="006B4324"/>
    <w:rsid w:val="006B5A36"/>
    <w:rsid w:val="006C000F"/>
    <w:rsid w:val="006C2B18"/>
    <w:rsid w:val="006C3A60"/>
    <w:rsid w:val="006C4971"/>
    <w:rsid w:val="006C78F9"/>
    <w:rsid w:val="006D29FA"/>
    <w:rsid w:val="006D31CC"/>
    <w:rsid w:val="006D3AC6"/>
    <w:rsid w:val="006D3AF9"/>
    <w:rsid w:val="006D466F"/>
    <w:rsid w:val="006D6FEC"/>
    <w:rsid w:val="006E0F0F"/>
    <w:rsid w:val="006E297D"/>
    <w:rsid w:val="006E2ED6"/>
    <w:rsid w:val="006E3997"/>
    <w:rsid w:val="006E39F8"/>
    <w:rsid w:val="006E42AF"/>
    <w:rsid w:val="006E5458"/>
    <w:rsid w:val="006F0295"/>
    <w:rsid w:val="006F2994"/>
    <w:rsid w:val="006F6B09"/>
    <w:rsid w:val="006F7F40"/>
    <w:rsid w:val="007006F5"/>
    <w:rsid w:val="007009A0"/>
    <w:rsid w:val="00701441"/>
    <w:rsid w:val="00703920"/>
    <w:rsid w:val="007045CB"/>
    <w:rsid w:val="00704F5D"/>
    <w:rsid w:val="007109D1"/>
    <w:rsid w:val="0071125D"/>
    <w:rsid w:val="0071222B"/>
    <w:rsid w:val="00712776"/>
    <w:rsid w:val="00713B86"/>
    <w:rsid w:val="007148CC"/>
    <w:rsid w:val="0071670C"/>
    <w:rsid w:val="00717BDA"/>
    <w:rsid w:val="00721343"/>
    <w:rsid w:val="00725396"/>
    <w:rsid w:val="00725922"/>
    <w:rsid w:val="0073340E"/>
    <w:rsid w:val="00736B41"/>
    <w:rsid w:val="007432BA"/>
    <w:rsid w:val="00743C61"/>
    <w:rsid w:val="00745853"/>
    <w:rsid w:val="00745D75"/>
    <w:rsid w:val="007476B0"/>
    <w:rsid w:val="00750BB0"/>
    <w:rsid w:val="0075237D"/>
    <w:rsid w:val="00753943"/>
    <w:rsid w:val="0075537D"/>
    <w:rsid w:val="00756D27"/>
    <w:rsid w:val="007603A0"/>
    <w:rsid w:val="007607D8"/>
    <w:rsid w:val="00760D4F"/>
    <w:rsid w:val="00760F0F"/>
    <w:rsid w:val="0076329E"/>
    <w:rsid w:val="00764C46"/>
    <w:rsid w:val="007650C2"/>
    <w:rsid w:val="00765732"/>
    <w:rsid w:val="00765FEA"/>
    <w:rsid w:val="00767761"/>
    <w:rsid w:val="007701DD"/>
    <w:rsid w:val="00770524"/>
    <w:rsid w:val="007720FE"/>
    <w:rsid w:val="0077458D"/>
    <w:rsid w:val="00774713"/>
    <w:rsid w:val="00774C35"/>
    <w:rsid w:val="007763E5"/>
    <w:rsid w:val="00776CC7"/>
    <w:rsid w:val="007770DD"/>
    <w:rsid w:val="00777890"/>
    <w:rsid w:val="00781572"/>
    <w:rsid w:val="0078457B"/>
    <w:rsid w:val="00784A7F"/>
    <w:rsid w:val="00785970"/>
    <w:rsid w:val="00785CEB"/>
    <w:rsid w:val="007862B2"/>
    <w:rsid w:val="00787DB4"/>
    <w:rsid w:val="00790B73"/>
    <w:rsid w:val="00791857"/>
    <w:rsid w:val="00791B09"/>
    <w:rsid w:val="00792159"/>
    <w:rsid w:val="00793668"/>
    <w:rsid w:val="007945D0"/>
    <w:rsid w:val="00795109"/>
    <w:rsid w:val="00795869"/>
    <w:rsid w:val="00795E11"/>
    <w:rsid w:val="00796E2A"/>
    <w:rsid w:val="007A2B3F"/>
    <w:rsid w:val="007A4B8C"/>
    <w:rsid w:val="007B2EDC"/>
    <w:rsid w:val="007B3394"/>
    <w:rsid w:val="007B54E2"/>
    <w:rsid w:val="007B561D"/>
    <w:rsid w:val="007B690F"/>
    <w:rsid w:val="007B6E1D"/>
    <w:rsid w:val="007C02A7"/>
    <w:rsid w:val="007C054D"/>
    <w:rsid w:val="007C2B02"/>
    <w:rsid w:val="007C2E3E"/>
    <w:rsid w:val="007C3254"/>
    <w:rsid w:val="007C352B"/>
    <w:rsid w:val="007C3803"/>
    <w:rsid w:val="007C6BB0"/>
    <w:rsid w:val="007D024B"/>
    <w:rsid w:val="007D136F"/>
    <w:rsid w:val="007D442F"/>
    <w:rsid w:val="007D67CA"/>
    <w:rsid w:val="007D6827"/>
    <w:rsid w:val="007D6F7E"/>
    <w:rsid w:val="007E0D55"/>
    <w:rsid w:val="007E15A7"/>
    <w:rsid w:val="007E1ACB"/>
    <w:rsid w:val="007E246C"/>
    <w:rsid w:val="007E365B"/>
    <w:rsid w:val="007E3DF1"/>
    <w:rsid w:val="007F083A"/>
    <w:rsid w:val="007F10D9"/>
    <w:rsid w:val="007F48F5"/>
    <w:rsid w:val="007F4903"/>
    <w:rsid w:val="007F5A43"/>
    <w:rsid w:val="007F6599"/>
    <w:rsid w:val="007F6DCC"/>
    <w:rsid w:val="0080145C"/>
    <w:rsid w:val="00801C34"/>
    <w:rsid w:val="00805987"/>
    <w:rsid w:val="00807692"/>
    <w:rsid w:val="0081021C"/>
    <w:rsid w:val="00810309"/>
    <w:rsid w:val="008129C8"/>
    <w:rsid w:val="00814A9E"/>
    <w:rsid w:val="008177D0"/>
    <w:rsid w:val="008179ED"/>
    <w:rsid w:val="00826832"/>
    <w:rsid w:val="00826993"/>
    <w:rsid w:val="00827E18"/>
    <w:rsid w:val="00831F7B"/>
    <w:rsid w:val="00832621"/>
    <w:rsid w:val="00832DAC"/>
    <w:rsid w:val="00835B59"/>
    <w:rsid w:val="00836735"/>
    <w:rsid w:val="0083678D"/>
    <w:rsid w:val="0083785F"/>
    <w:rsid w:val="00840DC2"/>
    <w:rsid w:val="008454B4"/>
    <w:rsid w:val="00845F7B"/>
    <w:rsid w:val="00851531"/>
    <w:rsid w:val="00852583"/>
    <w:rsid w:val="00853EB5"/>
    <w:rsid w:val="0085616E"/>
    <w:rsid w:val="00856820"/>
    <w:rsid w:val="00857A61"/>
    <w:rsid w:val="0086100B"/>
    <w:rsid w:val="00863BAC"/>
    <w:rsid w:val="00863C04"/>
    <w:rsid w:val="00864AB6"/>
    <w:rsid w:val="008655B3"/>
    <w:rsid w:val="00870756"/>
    <w:rsid w:val="008723F2"/>
    <w:rsid w:val="008750A0"/>
    <w:rsid w:val="00875B11"/>
    <w:rsid w:val="00875E52"/>
    <w:rsid w:val="00876F05"/>
    <w:rsid w:val="0087717F"/>
    <w:rsid w:val="00883A75"/>
    <w:rsid w:val="00883C54"/>
    <w:rsid w:val="0088415A"/>
    <w:rsid w:val="00884942"/>
    <w:rsid w:val="008865E9"/>
    <w:rsid w:val="00887DE4"/>
    <w:rsid w:val="00891D9D"/>
    <w:rsid w:val="00891DF7"/>
    <w:rsid w:val="00893439"/>
    <w:rsid w:val="00893EF3"/>
    <w:rsid w:val="00894E53"/>
    <w:rsid w:val="00896260"/>
    <w:rsid w:val="008962F0"/>
    <w:rsid w:val="008964D2"/>
    <w:rsid w:val="00896A71"/>
    <w:rsid w:val="00896B3C"/>
    <w:rsid w:val="008A055D"/>
    <w:rsid w:val="008A24B6"/>
    <w:rsid w:val="008A4A99"/>
    <w:rsid w:val="008A709B"/>
    <w:rsid w:val="008B02AB"/>
    <w:rsid w:val="008B0F7F"/>
    <w:rsid w:val="008B281C"/>
    <w:rsid w:val="008B375C"/>
    <w:rsid w:val="008B3B21"/>
    <w:rsid w:val="008C27C6"/>
    <w:rsid w:val="008C6664"/>
    <w:rsid w:val="008C66FF"/>
    <w:rsid w:val="008C6967"/>
    <w:rsid w:val="008C7C51"/>
    <w:rsid w:val="008C7DB3"/>
    <w:rsid w:val="008D031E"/>
    <w:rsid w:val="008D07AC"/>
    <w:rsid w:val="008D08B3"/>
    <w:rsid w:val="008D0B25"/>
    <w:rsid w:val="008D1979"/>
    <w:rsid w:val="008D28F3"/>
    <w:rsid w:val="008D32F8"/>
    <w:rsid w:val="008D436B"/>
    <w:rsid w:val="008E0214"/>
    <w:rsid w:val="008E0D96"/>
    <w:rsid w:val="008E1ADE"/>
    <w:rsid w:val="008E38CE"/>
    <w:rsid w:val="008E5D4B"/>
    <w:rsid w:val="008E7C76"/>
    <w:rsid w:val="008F0583"/>
    <w:rsid w:val="008F2999"/>
    <w:rsid w:val="008F33FE"/>
    <w:rsid w:val="008F684C"/>
    <w:rsid w:val="00901822"/>
    <w:rsid w:val="00901FEC"/>
    <w:rsid w:val="0090204F"/>
    <w:rsid w:val="00902623"/>
    <w:rsid w:val="0090576E"/>
    <w:rsid w:val="00906721"/>
    <w:rsid w:val="00912C07"/>
    <w:rsid w:val="00912D5E"/>
    <w:rsid w:val="009135FE"/>
    <w:rsid w:val="00913AAA"/>
    <w:rsid w:val="00913BF4"/>
    <w:rsid w:val="00915910"/>
    <w:rsid w:val="009174D5"/>
    <w:rsid w:val="009202A5"/>
    <w:rsid w:val="0092275A"/>
    <w:rsid w:val="00924489"/>
    <w:rsid w:val="00924A24"/>
    <w:rsid w:val="00926370"/>
    <w:rsid w:val="0092701A"/>
    <w:rsid w:val="00927871"/>
    <w:rsid w:val="00932505"/>
    <w:rsid w:val="00936D1B"/>
    <w:rsid w:val="009370C5"/>
    <w:rsid w:val="0093792E"/>
    <w:rsid w:val="00937CE5"/>
    <w:rsid w:val="0094034F"/>
    <w:rsid w:val="00947667"/>
    <w:rsid w:val="00947BD6"/>
    <w:rsid w:val="0095063E"/>
    <w:rsid w:val="009514CD"/>
    <w:rsid w:val="009527A4"/>
    <w:rsid w:val="00952F26"/>
    <w:rsid w:val="00952F3E"/>
    <w:rsid w:val="00953A71"/>
    <w:rsid w:val="0095609F"/>
    <w:rsid w:val="00957395"/>
    <w:rsid w:val="00957B3C"/>
    <w:rsid w:val="009616DB"/>
    <w:rsid w:val="009628C3"/>
    <w:rsid w:val="00963842"/>
    <w:rsid w:val="00963A6E"/>
    <w:rsid w:val="00964F1F"/>
    <w:rsid w:val="009650ED"/>
    <w:rsid w:val="00966879"/>
    <w:rsid w:val="00966B67"/>
    <w:rsid w:val="00967318"/>
    <w:rsid w:val="009674E1"/>
    <w:rsid w:val="00971298"/>
    <w:rsid w:val="00971CCE"/>
    <w:rsid w:val="0097232B"/>
    <w:rsid w:val="00974FC2"/>
    <w:rsid w:val="009756CA"/>
    <w:rsid w:val="00975E62"/>
    <w:rsid w:val="009774AF"/>
    <w:rsid w:val="00980667"/>
    <w:rsid w:val="00980A5C"/>
    <w:rsid w:val="009810F2"/>
    <w:rsid w:val="00981DF9"/>
    <w:rsid w:val="009820F8"/>
    <w:rsid w:val="009825A0"/>
    <w:rsid w:val="009856F4"/>
    <w:rsid w:val="009863A7"/>
    <w:rsid w:val="009876B4"/>
    <w:rsid w:val="009907FF"/>
    <w:rsid w:val="00990FC1"/>
    <w:rsid w:val="00991EF5"/>
    <w:rsid w:val="00992BF9"/>
    <w:rsid w:val="009932F2"/>
    <w:rsid w:val="00993801"/>
    <w:rsid w:val="009950CE"/>
    <w:rsid w:val="00996D26"/>
    <w:rsid w:val="00996DBF"/>
    <w:rsid w:val="009A0447"/>
    <w:rsid w:val="009A15AC"/>
    <w:rsid w:val="009A18F8"/>
    <w:rsid w:val="009A2B0A"/>
    <w:rsid w:val="009A3C71"/>
    <w:rsid w:val="009A44A4"/>
    <w:rsid w:val="009B117A"/>
    <w:rsid w:val="009B1260"/>
    <w:rsid w:val="009B1FFB"/>
    <w:rsid w:val="009B3A1D"/>
    <w:rsid w:val="009B3C26"/>
    <w:rsid w:val="009B43C5"/>
    <w:rsid w:val="009B4D03"/>
    <w:rsid w:val="009B50A3"/>
    <w:rsid w:val="009B5CF7"/>
    <w:rsid w:val="009B5E51"/>
    <w:rsid w:val="009B7074"/>
    <w:rsid w:val="009B70D0"/>
    <w:rsid w:val="009C16B1"/>
    <w:rsid w:val="009C22C4"/>
    <w:rsid w:val="009C3338"/>
    <w:rsid w:val="009C33C0"/>
    <w:rsid w:val="009C5C5C"/>
    <w:rsid w:val="009D009F"/>
    <w:rsid w:val="009D0525"/>
    <w:rsid w:val="009D2EF1"/>
    <w:rsid w:val="009D3364"/>
    <w:rsid w:val="009D36C3"/>
    <w:rsid w:val="009D5103"/>
    <w:rsid w:val="009D6462"/>
    <w:rsid w:val="009D67F0"/>
    <w:rsid w:val="009D68B8"/>
    <w:rsid w:val="009E0111"/>
    <w:rsid w:val="009E19FB"/>
    <w:rsid w:val="009E32AA"/>
    <w:rsid w:val="009E38A6"/>
    <w:rsid w:val="009E60F7"/>
    <w:rsid w:val="009E640B"/>
    <w:rsid w:val="009E7A0E"/>
    <w:rsid w:val="009E7F75"/>
    <w:rsid w:val="009F137E"/>
    <w:rsid w:val="009F4741"/>
    <w:rsid w:val="009F756A"/>
    <w:rsid w:val="00A00461"/>
    <w:rsid w:val="00A01A7D"/>
    <w:rsid w:val="00A022A6"/>
    <w:rsid w:val="00A03188"/>
    <w:rsid w:val="00A04543"/>
    <w:rsid w:val="00A10B41"/>
    <w:rsid w:val="00A13014"/>
    <w:rsid w:val="00A15A0D"/>
    <w:rsid w:val="00A1614A"/>
    <w:rsid w:val="00A16C94"/>
    <w:rsid w:val="00A22FD6"/>
    <w:rsid w:val="00A23F59"/>
    <w:rsid w:val="00A23F88"/>
    <w:rsid w:val="00A3047F"/>
    <w:rsid w:val="00A31129"/>
    <w:rsid w:val="00A32F67"/>
    <w:rsid w:val="00A34058"/>
    <w:rsid w:val="00A35426"/>
    <w:rsid w:val="00A35E74"/>
    <w:rsid w:val="00A36A55"/>
    <w:rsid w:val="00A4260C"/>
    <w:rsid w:val="00A42CC2"/>
    <w:rsid w:val="00A42DBA"/>
    <w:rsid w:val="00A43743"/>
    <w:rsid w:val="00A44503"/>
    <w:rsid w:val="00A44763"/>
    <w:rsid w:val="00A47906"/>
    <w:rsid w:val="00A52074"/>
    <w:rsid w:val="00A520DE"/>
    <w:rsid w:val="00A5472B"/>
    <w:rsid w:val="00A54A65"/>
    <w:rsid w:val="00A56722"/>
    <w:rsid w:val="00A5678C"/>
    <w:rsid w:val="00A56860"/>
    <w:rsid w:val="00A607E3"/>
    <w:rsid w:val="00A60BE0"/>
    <w:rsid w:val="00A63579"/>
    <w:rsid w:val="00A650B3"/>
    <w:rsid w:val="00A65E0E"/>
    <w:rsid w:val="00A70768"/>
    <w:rsid w:val="00A70792"/>
    <w:rsid w:val="00A71F9A"/>
    <w:rsid w:val="00A778EC"/>
    <w:rsid w:val="00A81621"/>
    <w:rsid w:val="00A82A06"/>
    <w:rsid w:val="00A83E24"/>
    <w:rsid w:val="00A85B79"/>
    <w:rsid w:val="00A8654D"/>
    <w:rsid w:val="00A867A5"/>
    <w:rsid w:val="00A87932"/>
    <w:rsid w:val="00A92CFC"/>
    <w:rsid w:val="00A9343A"/>
    <w:rsid w:val="00A93DA2"/>
    <w:rsid w:val="00A96FEF"/>
    <w:rsid w:val="00AA0333"/>
    <w:rsid w:val="00AA0B79"/>
    <w:rsid w:val="00AA1210"/>
    <w:rsid w:val="00AA361F"/>
    <w:rsid w:val="00AA47F3"/>
    <w:rsid w:val="00AA4CA3"/>
    <w:rsid w:val="00AA5A66"/>
    <w:rsid w:val="00AB37BB"/>
    <w:rsid w:val="00AB4A70"/>
    <w:rsid w:val="00AB5162"/>
    <w:rsid w:val="00AB6E6B"/>
    <w:rsid w:val="00AB6F49"/>
    <w:rsid w:val="00AB7120"/>
    <w:rsid w:val="00AC079E"/>
    <w:rsid w:val="00AC33FB"/>
    <w:rsid w:val="00AC3BBC"/>
    <w:rsid w:val="00AC4029"/>
    <w:rsid w:val="00AC5B4D"/>
    <w:rsid w:val="00AD0289"/>
    <w:rsid w:val="00AD39F4"/>
    <w:rsid w:val="00AD5C63"/>
    <w:rsid w:val="00AD686E"/>
    <w:rsid w:val="00AD7983"/>
    <w:rsid w:val="00AD7FB4"/>
    <w:rsid w:val="00AE1F74"/>
    <w:rsid w:val="00AE2F45"/>
    <w:rsid w:val="00AE4153"/>
    <w:rsid w:val="00AE68C5"/>
    <w:rsid w:val="00AF0CB8"/>
    <w:rsid w:val="00AF19DC"/>
    <w:rsid w:val="00AF2F80"/>
    <w:rsid w:val="00AF4164"/>
    <w:rsid w:val="00AF4196"/>
    <w:rsid w:val="00AF4259"/>
    <w:rsid w:val="00AF45ED"/>
    <w:rsid w:val="00AF6BBB"/>
    <w:rsid w:val="00B002C3"/>
    <w:rsid w:val="00B00428"/>
    <w:rsid w:val="00B00CA6"/>
    <w:rsid w:val="00B024A5"/>
    <w:rsid w:val="00B029F5"/>
    <w:rsid w:val="00B03861"/>
    <w:rsid w:val="00B04B4E"/>
    <w:rsid w:val="00B05FD3"/>
    <w:rsid w:val="00B077D2"/>
    <w:rsid w:val="00B07D0B"/>
    <w:rsid w:val="00B11795"/>
    <w:rsid w:val="00B12907"/>
    <w:rsid w:val="00B156C6"/>
    <w:rsid w:val="00B168D6"/>
    <w:rsid w:val="00B20271"/>
    <w:rsid w:val="00B215C7"/>
    <w:rsid w:val="00B215D6"/>
    <w:rsid w:val="00B21CF3"/>
    <w:rsid w:val="00B2238E"/>
    <w:rsid w:val="00B2290B"/>
    <w:rsid w:val="00B22B9C"/>
    <w:rsid w:val="00B22EFC"/>
    <w:rsid w:val="00B239DF"/>
    <w:rsid w:val="00B23C80"/>
    <w:rsid w:val="00B24106"/>
    <w:rsid w:val="00B2420A"/>
    <w:rsid w:val="00B27117"/>
    <w:rsid w:val="00B30F1C"/>
    <w:rsid w:val="00B32289"/>
    <w:rsid w:val="00B3442D"/>
    <w:rsid w:val="00B35BBF"/>
    <w:rsid w:val="00B442D3"/>
    <w:rsid w:val="00B45AD9"/>
    <w:rsid w:val="00B45F03"/>
    <w:rsid w:val="00B4611F"/>
    <w:rsid w:val="00B4756F"/>
    <w:rsid w:val="00B514C9"/>
    <w:rsid w:val="00B51DE8"/>
    <w:rsid w:val="00B56A5D"/>
    <w:rsid w:val="00B57E3D"/>
    <w:rsid w:val="00B601E6"/>
    <w:rsid w:val="00B608C7"/>
    <w:rsid w:val="00B61129"/>
    <w:rsid w:val="00B623BB"/>
    <w:rsid w:val="00B62461"/>
    <w:rsid w:val="00B62B43"/>
    <w:rsid w:val="00B63086"/>
    <w:rsid w:val="00B638FF"/>
    <w:rsid w:val="00B66C18"/>
    <w:rsid w:val="00B6749B"/>
    <w:rsid w:val="00B70047"/>
    <w:rsid w:val="00B7013B"/>
    <w:rsid w:val="00B7241A"/>
    <w:rsid w:val="00B74A91"/>
    <w:rsid w:val="00B75CD3"/>
    <w:rsid w:val="00B765C4"/>
    <w:rsid w:val="00B77105"/>
    <w:rsid w:val="00B82BEB"/>
    <w:rsid w:val="00B84D54"/>
    <w:rsid w:val="00B851F0"/>
    <w:rsid w:val="00B85437"/>
    <w:rsid w:val="00B85F11"/>
    <w:rsid w:val="00B86201"/>
    <w:rsid w:val="00B86706"/>
    <w:rsid w:val="00B86DA9"/>
    <w:rsid w:val="00B91505"/>
    <w:rsid w:val="00B91E79"/>
    <w:rsid w:val="00B92C25"/>
    <w:rsid w:val="00B97CA0"/>
    <w:rsid w:val="00BA2947"/>
    <w:rsid w:val="00BA2D23"/>
    <w:rsid w:val="00BA35E8"/>
    <w:rsid w:val="00BA447B"/>
    <w:rsid w:val="00BA5E9B"/>
    <w:rsid w:val="00BA6063"/>
    <w:rsid w:val="00BA76A7"/>
    <w:rsid w:val="00BB3DE9"/>
    <w:rsid w:val="00BB4828"/>
    <w:rsid w:val="00BB5DA5"/>
    <w:rsid w:val="00BB6865"/>
    <w:rsid w:val="00BB69AB"/>
    <w:rsid w:val="00BB734E"/>
    <w:rsid w:val="00BC0C8B"/>
    <w:rsid w:val="00BC3EF8"/>
    <w:rsid w:val="00BC49AA"/>
    <w:rsid w:val="00BC4F87"/>
    <w:rsid w:val="00BC7619"/>
    <w:rsid w:val="00BD3669"/>
    <w:rsid w:val="00BD4A0E"/>
    <w:rsid w:val="00BD5552"/>
    <w:rsid w:val="00BD6042"/>
    <w:rsid w:val="00BD7B84"/>
    <w:rsid w:val="00BE0545"/>
    <w:rsid w:val="00BE13C2"/>
    <w:rsid w:val="00BE53AF"/>
    <w:rsid w:val="00BE5E61"/>
    <w:rsid w:val="00BE68B2"/>
    <w:rsid w:val="00BF0364"/>
    <w:rsid w:val="00BF2003"/>
    <w:rsid w:val="00BF3387"/>
    <w:rsid w:val="00BF34F4"/>
    <w:rsid w:val="00BF73D8"/>
    <w:rsid w:val="00C00B71"/>
    <w:rsid w:val="00C01571"/>
    <w:rsid w:val="00C0280F"/>
    <w:rsid w:val="00C02B1B"/>
    <w:rsid w:val="00C03DFF"/>
    <w:rsid w:val="00C0476D"/>
    <w:rsid w:val="00C05FD9"/>
    <w:rsid w:val="00C07245"/>
    <w:rsid w:val="00C07EF2"/>
    <w:rsid w:val="00C11E4B"/>
    <w:rsid w:val="00C13251"/>
    <w:rsid w:val="00C14A1C"/>
    <w:rsid w:val="00C2197A"/>
    <w:rsid w:val="00C21EE8"/>
    <w:rsid w:val="00C22697"/>
    <w:rsid w:val="00C22CA2"/>
    <w:rsid w:val="00C244BF"/>
    <w:rsid w:val="00C24BB2"/>
    <w:rsid w:val="00C2795E"/>
    <w:rsid w:val="00C307DD"/>
    <w:rsid w:val="00C316FE"/>
    <w:rsid w:val="00C359A4"/>
    <w:rsid w:val="00C36BD7"/>
    <w:rsid w:val="00C37211"/>
    <w:rsid w:val="00C3755E"/>
    <w:rsid w:val="00C43B94"/>
    <w:rsid w:val="00C44F42"/>
    <w:rsid w:val="00C46AEB"/>
    <w:rsid w:val="00C500B9"/>
    <w:rsid w:val="00C50837"/>
    <w:rsid w:val="00C50E20"/>
    <w:rsid w:val="00C523B6"/>
    <w:rsid w:val="00C56CBD"/>
    <w:rsid w:val="00C5774B"/>
    <w:rsid w:val="00C57A97"/>
    <w:rsid w:val="00C608BA"/>
    <w:rsid w:val="00C63C3C"/>
    <w:rsid w:val="00C63F17"/>
    <w:rsid w:val="00C6407F"/>
    <w:rsid w:val="00C653E2"/>
    <w:rsid w:val="00C6549C"/>
    <w:rsid w:val="00C67F6C"/>
    <w:rsid w:val="00C71C64"/>
    <w:rsid w:val="00C71EA5"/>
    <w:rsid w:val="00C72510"/>
    <w:rsid w:val="00C73EDC"/>
    <w:rsid w:val="00C75F85"/>
    <w:rsid w:val="00C81BAD"/>
    <w:rsid w:val="00C83476"/>
    <w:rsid w:val="00C845AF"/>
    <w:rsid w:val="00C865F0"/>
    <w:rsid w:val="00C951C7"/>
    <w:rsid w:val="00C95274"/>
    <w:rsid w:val="00C95A81"/>
    <w:rsid w:val="00C96BC1"/>
    <w:rsid w:val="00C9750F"/>
    <w:rsid w:val="00C97D06"/>
    <w:rsid w:val="00CA0381"/>
    <w:rsid w:val="00CA04E3"/>
    <w:rsid w:val="00CA1AB4"/>
    <w:rsid w:val="00CA2441"/>
    <w:rsid w:val="00CA382F"/>
    <w:rsid w:val="00CA4FFF"/>
    <w:rsid w:val="00CB2701"/>
    <w:rsid w:val="00CB2B20"/>
    <w:rsid w:val="00CB3766"/>
    <w:rsid w:val="00CB598B"/>
    <w:rsid w:val="00CB7B9D"/>
    <w:rsid w:val="00CB7EE8"/>
    <w:rsid w:val="00CC0244"/>
    <w:rsid w:val="00CC1CD6"/>
    <w:rsid w:val="00CC28F1"/>
    <w:rsid w:val="00CC442F"/>
    <w:rsid w:val="00CC4510"/>
    <w:rsid w:val="00CC4E58"/>
    <w:rsid w:val="00CC6138"/>
    <w:rsid w:val="00CC6EBA"/>
    <w:rsid w:val="00CC7E59"/>
    <w:rsid w:val="00CD104D"/>
    <w:rsid w:val="00CD1A52"/>
    <w:rsid w:val="00CD1F49"/>
    <w:rsid w:val="00CD4B6D"/>
    <w:rsid w:val="00CD6CC8"/>
    <w:rsid w:val="00CD7EFE"/>
    <w:rsid w:val="00CE0A11"/>
    <w:rsid w:val="00CE1070"/>
    <w:rsid w:val="00CE1930"/>
    <w:rsid w:val="00CE1B21"/>
    <w:rsid w:val="00CE509F"/>
    <w:rsid w:val="00CF0515"/>
    <w:rsid w:val="00CF081E"/>
    <w:rsid w:val="00CF150B"/>
    <w:rsid w:val="00CF1F1F"/>
    <w:rsid w:val="00CF22FF"/>
    <w:rsid w:val="00CF24A8"/>
    <w:rsid w:val="00CF27FC"/>
    <w:rsid w:val="00CF415A"/>
    <w:rsid w:val="00CF4AC8"/>
    <w:rsid w:val="00CF67FB"/>
    <w:rsid w:val="00D009EE"/>
    <w:rsid w:val="00D0615B"/>
    <w:rsid w:val="00D12425"/>
    <w:rsid w:val="00D1372F"/>
    <w:rsid w:val="00D1559B"/>
    <w:rsid w:val="00D16C2C"/>
    <w:rsid w:val="00D17C8F"/>
    <w:rsid w:val="00D22EE8"/>
    <w:rsid w:val="00D23006"/>
    <w:rsid w:val="00D236E3"/>
    <w:rsid w:val="00D23C88"/>
    <w:rsid w:val="00D24004"/>
    <w:rsid w:val="00D255A1"/>
    <w:rsid w:val="00D25E42"/>
    <w:rsid w:val="00D26AAA"/>
    <w:rsid w:val="00D274DF"/>
    <w:rsid w:val="00D41F49"/>
    <w:rsid w:val="00D42869"/>
    <w:rsid w:val="00D45D94"/>
    <w:rsid w:val="00D479AF"/>
    <w:rsid w:val="00D505D6"/>
    <w:rsid w:val="00D50E57"/>
    <w:rsid w:val="00D516A6"/>
    <w:rsid w:val="00D51EC0"/>
    <w:rsid w:val="00D53969"/>
    <w:rsid w:val="00D56136"/>
    <w:rsid w:val="00D57729"/>
    <w:rsid w:val="00D57E35"/>
    <w:rsid w:val="00D61B56"/>
    <w:rsid w:val="00D6309F"/>
    <w:rsid w:val="00D644F1"/>
    <w:rsid w:val="00D652CE"/>
    <w:rsid w:val="00D6607F"/>
    <w:rsid w:val="00D663B8"/>
    <w:rsid w:val="00D66AC9"/>
    <w:rsid w:val="00D67C22"/>
    <w:rsid w:val="00D7476E"/>
    <w:rsid w:val="00D75BF5"/>
    <w:rsid w:val="00D76250"/>
    <w:rsid w:val="00D7682E"/>
    <w:rsid w:val="00D8087B"/>
    <w:rsid w:val="00D83206"/>
    <w:rsid w:val="00D845A3"/>
    <w:rsid w:val="00D85295"/>
    <w:rsid w:val="00D8534B"/>
    <w:rsid w:val="00D86BD1"/>
    <w:rsid w:val="00D86FC9"/>
    <w:rsid w:val="00D905EF"/>
    <w:rsid w:val="00D92111"/>
    <w:rsid w:val="00D92B12"/>
    <w:rsid w:val="00D93152"/>
    <w:rsid w:val="00D94F37"/>
    <w:rsid w:val="00D95B6F"/>
    <w:rsid w:val="00D9688F"/>
    <w:rsid w:val="00D96EBC"/>
    <w:rsid w:val="00D974F9"/>
    <w:rsid w:val="00D97DE6"/>
    <w:rsid w:val="00DA1B3A"/>
    <w:rsid w:val="00DA2313"/>
    <w:rsid w:val="00DA3078"/>
    <w:rsid w:val="00DA3C11"/>
    <w:rsid w:val="00DA4FD6"/>
    <w:rsid w:val="00DA57A8"/>
    <w:rsid w:val="00DA589D"/>
    <w:rsid w:val="00DA6061"/>
    <w:rsid w:val="00DA643F"/>
    <w:rsid w:val="00DA757D"/>
    <w:rsid w:val="00DB04D8"/>
    <w:rsid w:val="00DB1EA1"/>
    <w:rsid w:val="00DB5850"/>
    <w:rsid w:val="00DB6943"/>
    <w:rsid w:val="00DC109C"/>
    <w:rsid w:val="00DC2787"/>
    <w:rsid w:val="00DC7094"/>
    <w:rsid w:val="00DD174A"/>
    <w:rsid w:val="00DD3040"/>
    <w:rsid w:val="00DD3D6F"/>
    <w:rsid w:val="00DD51AB"/>
    <w:rsid w:val="00DD6CC9"/>
    <w:rsid w:val="00DD6F95"/>
    <w:rsid w:val="00DD7366"/>
    <w:rsid w:val="00DE1B7F"/>
    <w:rsid w:val="00DE3087"/>
    <w:rsid w:val="00DE33B3"/>
    <w:rsid w:val="00DE5F7E"/>
    <w:rsid w:val="00DF483A"/>
    <w:rsid w:val="00DF60B3"/>
    <w:rsid w:val="00DF6D7A"/>
    <w:rsid w:val="00DF7011"/>
    <w:rsid w:val="00E01670"/>
    <w:rsid w:val="00E01CB5"/>
    <w:rsid w:val="00E034A3"/>
    <w:rsid w:val="00E04A79"/>
    <w:rsid w:val="00E068F0"/>
    <w:rsid w:val="00E10CB2"/>
    <w:rsid w:val="00E11FE7"/>
    <w:rsid w:val="00E12794"/>
    <w:rsid w:val="00E14E62"/>
    <w:rsid w:val="00E15E41"/>
    <w:rsid w:val="00E1646B"/>
    <w:rsid w:val="00E22478"/>
    <w:rsid w:val="00E232FA"/>
    <w:rsid w:val="00E23619"/>
    <w:rsid w:val="00E24F80"/>
    <w:rsid w:val="00E25043"/>
    <w:rsid w:val="00E2690D"/>
    <w:rsid w:val="00E27C29"/>
    <w:rsid w:val="00E30D1C"/>
    <w:rsid w:val="00E32BBA"/>
    <w:rsid w:val="00E34E50"/>
    <w:rsid w:val="00E36431"/>
    <w:rsid w:val="00E3722E"/>
    <w:rsid w:val="00E373B2"/>
    <w:rsid w:val="00E41147"/>
    <w:rsid w:val="00E419E9"/>
    <w:rsid w:val="00E41A22"/>
    <w:rsid w:val="00E442E8"/>
    <w:rsid w:val="00E444D1"/>
    <w:rsid w:val="00E4463F"/>
    <w:rsid w:val="00E44E88"/>
    <w:rsid w:val="00E45342"/>
    <w:rsid w:val="00E45E24"/>
    <w:rsid w:val="00E46843"/>
    <w:rsid w:val="00E50C32"/>
    <w:rsid w:val="00E555C6"/>
    <w:rsid w:val="00E55A6B"/>
    <w:rsid w:val="00E55F12"/>
    <w:rsid w:val="00E56666"/>
    <w:rsid w:val="00E56A24"/>
    <w:rsid w:val="00E56D08"/>
    <w:rsid w:val="00E6003E"/>
    <w:rsid w:val="00E6212B"/>
    <w:rsid w:val="00E64643"/>
    <w:rsid w:val="00E64EC1"/>
    <w:rsid w:val="00E66D85"/>
    <w:rsid w:val="00E66E6D"/>
    <w:rsid w:val="00E7149B"/>
    <w:rsid w:val="00E71708"/>
    <w:rsid w:val="00E7263C"/>
    <w:rsid w:val="00E72F34"/>
    <w:rsid w:val="00E74774"/>
    <w:rsid w:val="00E757E2"/>
    <w:rsid w:val="00E762B4"/>
    <w:rsid w:val="00E76957"/>
    <w:rsid w:val="00E76E02"/>
    <w:rsid w:val="00E8089E"/>
    <w:rsid w:val="00E818B5"/>
    <w:rsid w:val="00E83107"/>
    <w:rsid w:val="00E831F8"/>
    <w:rsid w:val="00E83871"/>
    <w:rsid w:val="00E8557D"/>
    <w:rsid w:val="00E86CFD"/>
    <w:rsid w:val="00E90C7F"/>
    <w:rsid w:val="00E9393E"/>
    <w:rsid w:val="00E95773"/>
    <w:rsid w:val="00E95B18"/>
    <w:rsid w:val="00E97001"/>
    <w:rsid w:val="00E97905"/>
    <w:rsid w:val="00EA0740"/>
    <w:rsid w:val="00EA6C65"/>
    <w:rsid w:val="00EB2397"/>
    <w:rsid w:val="00EB389A"/>
    <w:rsid w:val="00EB48D6"/>
    <w:rsid w:val="00EB5708"/>
    <w:rsid w:val="00EB62AD"/>
    <w:rsid w:val="00EC3D2C"/>
    <w:rsid w:val="00EC66DA"/>
    <w:rsid w:val="00EC7859"/>
    <w:rsid w:val="00ED0B7C"/>
    <w:rsid w:val="00ED2775"/>
    <w:rsid w:val="00ED3CFE"/>
    <w:rsid w:val="00ED3F77"/>
    <w:rsid w:val="00ED5033"/>
    <w:rsid w:val="00ED50CE"/>
    <w:rsid w:val="00ED5A84"/>
    <w:rsid w:val="00ED6CDE"/>
    <w:rsid w:val="00ED6D48"/>
    <w:rsid w:val="00ED7487"/>
    <w:rsid w:val="00EE0235"/>
    <w:rsid w:val="00EE0E7A"/>
    <w:rsid w:val="00EE2649"/>
    <w:rsid w:val="00EE3572"/>
    <w:rsid w:val="00EE4DEE"/>
    <w:rsid w:val="00EE78B0"/>
    <w:rsid w:val="00EE7B22"/>
    <w:rsid w:val="00EF0562"/>
    <w:rsid w:val="00EF2AE5"/>
    <w:rsid w:val="00EF2E1F"/>
    <w:rsid w:val="00EF3D1A"/>
    <w:rsid w:val="00EF3E34"/>
    <w:rsid w:val="00EF5212"/>
    <w:rsid w:val="00EF5604"/>
    <w:rsid w:val="00EF61E9"/>
    <w:rsid w:val="00EF7585"/>
    <w:rsid w:val="00EF7E8D"/>
    <w:rsid w:val="00F009B8"/>
    <w:rsid w:val="00F00EB0"/>
    <w:rsid w:val="00F047D7"/>
    <w:rsid w:val="00F0558B"/>
    <w:rsid w:val="00F0606E"/>
    <w:rsid w:val="00F06C0B"/>
    <w:rsid w:val="00F07FB5"/>
    <w:rsid w:val="00F11330"/>
    <w:rsid w:val="00F12678"/>
    <w:rsid w:val="00F12A83"/>
    <w:rsid w:val="00F12D73"/>
    <w:rsid w:val="00F14453"/>
    <w:rsid w:val="00F15EF0"/>
    <w:rsid w:val="00F17FFB"/>
    <w:rsid w:val="00F2033A"/>
    <w:rsid w:val="00F24A92"/>
    <w:rsid w:val="00F25B11"/>
    <w:rsid w:val="00F262C0"/>
    <w:rsid w:val="00F26396"/>
    <w:rsid w:val="00F316A5"/>
    <w:rsid w:val="00F33BDF"/>
    <w:rsid w:val="00F34BA0"/>
    <w:rsid w:val="00F34C9C"/>
    <w:rsid w:val="00F358E4"/>
    <w:rsid w:val="00F3616E"/>
    <w:rsid w:val="00F379CE"/>
    <w:rsid w:val="00F37F14"/>
    <w:rsid w:val="00F40BD9"/>
    <w:rsid w:val="00F41EB0"/>
    <w:rsid w:val="00F42E99"/>
    <w:rsid w:val="00F432A2"/>
    <w:rsid w:val="00F43C1B"/>
    <w:rsid w:val="00F43FBD"/>
    <w:rsid w:val="00F45280"/>
    <w:rsid w:val="00F45E0F"/>
    <w:rsid w:val="00F51772"/>
    <w:rsid w:val="00F62457"/>
    <w:rsid w:val="00F64C42"/>
    <w:rsid w:val="00F65925"/>
    <w:rsid w:val="00F67F7A"/>
    <w:rsid w:val="00F705CF"/>
    <w:rsid w:val="00F71A4F"/>
    <w:rsid w:val="00F727D6"/>
    <w:rsid w:val="00F73868"/>
    <w:rsid w:val="00F73EB0"/>
    <w:rsid w:val="00F7661F"/>
    <w:rsid w:val="00F76D4B"/>
    <w:rsid w:val="00F83600"/>
    <w:rsid w:val="00F86563"/>
    <w:rsid w:val="00F87A36"/>
    <w:rsid w:val="00F87B1A"/>
    <w:rsid w:val="00F902EF"/>
    <w:rsid w:val="00F9102F"/>
    <w:rsid w:val="00F9339F"/>
    <w:rsid w:val="00F93872"/>
    <w:rsid w:val="00F963B9"/>
    <w:rsid w:val="00F96866"/>
    <w:rsid w:val="00F9762A"/>
    <w:rsid w:val="00FA398C"/>
    <w:rsid w:val="00FA3DF8"/>
    <w:rsid w:val="00FA3E65"/>
    <w:rsid w:val="00FA4014"/>
    <w:rsid w:val="00FB15A8"/>
    <w:rsid w:val="00FB1FA7"/>
    <w:rsid w:val="00FB534C"/>
    <w:rsid w:val="00FB5DBF"/>
    <w:rsid w:val="00FC3274"/>
    <w:rsid w:val="00FC40E6"/>
    <w:rsid w:val="00FC5E9C"/>
    <w:rsid w:val="00FC7BCE"/>
    <w:rsid w:val="00FD078A"/>
    <w:rsid w:val="00FD0EA3"/>
    <w:rsid w:val="00FD1324"/>
    <w:rsid w:val="00FD34D9"/>
    <w:rsid w:val="00FD42CF"/>
    <w:rsid w:val="00FD49E6"/>
    <w:rsid w:val="00FD54EF"/>
    <w:rsid w:val="00FE1331"/>
    <w:rsid w:val="00FE2153"/>
    <w:rsid w:val="00FE2345"/>
    <w:rsid w:val="00FE2F4D"/>
    <w:rsid w:val="00FE377E"/>
    <w:rsid w:val="00FE5C60"/>
    <w:rsid w:val="00FF1DA5"/>
    <w:rsid w:val="00FF2C6C"/>
    <w:rsid w:val="00FF59EA"/>
    <w:rsid w:val="00FF7216"/>
    <w:rsid w:val="01655B7A"/>
    <w:rsid w:val="049F0808"/>
    <w:rsid w:val="053F5B28"/>
    <w:rsid w:val="05EC4C2E"/>
    <w:rsid w:val="06366134"/>
    <w:rsid w:val="067C43A3"/>
    <w:rsid w:val="06D60951"/>
    <w:rsid w:val="07724B2E"/>
    <w:rsid w:val="07BA1BFB"/>
    <w:rsid w:val="07D95D31"/>
    <w:rsid w:val="08274A57"/>
    <w:rsid w:val="089E785A"/>
    <w:rsid w:val="08DB63D9"/>
    <w:rsid w:val="08F0739E"/>
    <w:rsid w:val="09E9716A"/>
    <w:rsid w:val="0BA85EBD"/>
    <w:rsid w:val="0F631EE7"/>
    <w:rsid w:val="0F8E6AB4"/>
    <w:rsid w:val="0F957960"/>
    <w:rsid w:val="0FF33303"/>
    <w:rsid w:val="10506497"/>
    <w:rsid w:val="10750FC1"/>
    <w:rsid w:val="10AA31F6"/>
    <w:rsid w:val="10E114C7"/>
    <w:rsid w:val="118D3FAB"/>
    <w:rsid w:val="1234188E"/>
    <w:rsid w:val="13F0779C"/>
    <w:rsid w:val="141F2C39"/>
    <w:rsid w:val="15C17880"/>
    <w:rsid w:val="15F05DEC"/>
    <w:rsid w:val="17941E76"/>
    <w:rsid w:val="184F3D6C"/>
    <w:rsid w:val="18712548"/>
    <w:rsid w:val="195E793F"/>
    <w:rsid w:val="198E37BC"/>
    <w:rsid w:val="1B947F74"/>
    <w:rsid w:val="1D694637"/>
    <w:rsid w:val="1FF05575"/>
    <w:rsid w:val="20847340"/>
    <w:rsid w:val="213117E9"/>
    <w:rsid w:val="215943BB"/>
    <w:rsid w:val="218421AD"/>
    <w:rsid w:val="21BA53E5"/>
    <w:rsid w:val="21F92F3E"/>
    <w:rsid w:val="22547A21"/>
    <w:rsid w:val="24141AD9"/>
    <w:rsid w:val="24844614"/>
    <w:rsid w:val="24B63F00"/>
    <w:rsid w:val="2555224D"/>
    <w:rsid w:val="255B1615"/>
    <w:rsid w:val="26146B18"/>
    <w:rsid w:val="26172B74"/>
    <w:rsid w:val="26860D51"/>
    <w:rsid w:val="26A361E4"/>
    <w:rsid w:val="27E91A2C"/>
    <w:rsid w:val="28967329"/>
    <w:rsid w:val="28B24FB4"/>
    <w:rsid w:val="28C4687D"/>
    <w:rsid w:val="28E6588D"/>
    <w:rsid w:val="28F52DEC"/>
    <w:rsid w:val="29AB62B2"/>
    <w:rsid w:val="29C85B56"/>
    <w:rsid w:val="2AF66BBE"/>
    <w:rsid w:val="2C9D29C6"/>
    <w:rsid w:val="2CA35392"/>
    <w:rsid w:val="2CB95EEE"/>
    <w:rsid w:val="2CC35D37"/>
    <w:rsid w:val="2E461A71"/>
    <w:rsid w:val="2E6F2D00"/>
    <w:rsid w:val="2F4A62AF"/>
    <w:rsid w:val="2F5C2B1B"/>
    <w:rsid w:val="303623D2"/>
    <w:rsid w:val="30441F13"/>
    <w:rsid w:val="30490E8A"/>
    <w:rsid w:val="31591EE3"/>
    <w:rsid w:val="316C64A1"/>
    <w:rsid w:val="31E54A36"/>
    <w:rsid w:val="325E12D9"/>
    <w:rsid w:val="330E4461"/>
    <w:rsid w:val="33942059"/>
    <w:rsid w:val="33C57F0C"/>
    <w:rsid w:val="341A452E"/>
    <w:rsid w:val="34B665FB"/>
    <w:rsid w:val="3541115B"/>
    <w:rsid w:val="35BC00AA"/>
    <w:rsid w:val="35EB75DF"/>
    <w:rsid w:val="36C00484"/>
    <w:rsid w:val="37BE4C03"/>
    <w:rsid w:val="38322D8E"/>
    <w:rsid w:val="387C7DFD"/>
    <w:rsid w:val="38884598"/>
    <w:rsid w:val="3A373923"/>
    <w:rsid w:val="3AB045CE"/>
    <w:rsid w:val="3ABF26C1"/>
    <w:rsid w:val="3BCD02C7"/>
    <w:rsid w:val="3BFC07DC"/>
    <w:rsid w:val="3C140B5C"/>
    <w:rsid w:val="3C19661A"/>
    <w:rsid w:val="3D8273D3"/>
    <w:rsid w:val="3D9E3CE9"/>
    <w:rsid w:val="3DA70608"/>
    <w:rsid w:val="3E812ABE"/>
    <w:rsid w:val="3EBB77DC"/>
    <w:rsid w:val="3EF75AA6"/>
    <w:rsid w:val="40211F81"/>
    <w:rsid w:val="41DD7E16"/>
    <w:rsid w:val="42053738"/>
    <w:rsid w:val="420E1C71"/>
    <w:rsid w:val="43303760"/>
    <w:rsid w:val="437B24FA"/>
    <w:rsid w:val="440F0F6B"/>
    <w:rsid w:val="457E404D"/>
    <w:rsid w:val="45A35C43"/>
    <w:rsid w:val="467B56D6"/>
    <w:rsid w:val="46BF6B62"/>
    <w:rsid w:val="470115A9"/>
    <w:rsid w:val="47361C65"/>
    <w:rsid w:val="47B3103F"/>
    <w:rsid w:val="4920547F"/>
    <w:rsid w:val="496163AA"/>
    <w:rsid w:val="4B2D644A"/>
    <w:rsid w:val="4BDE4909"/>
    <w:rsid w:val="4CA20DC8"/>
    <w:rsid w:val="4CAA0B2F"/>
    <w:rsid w:val="4DB4431D"/>
    <w:rsid w:val="4EC0302A"/>
    <w:rsid w:val="50964958"/>
    <w:rsid w:val="50BE6531"/>
    <w:rsid w:val="53DA2100"/>
    <w:rsid w:val="540F051D"/>
    <w:rsid w:val="548B33B5"/>
    <w:rsid w:val="54BD2C8B"/>
    <w:rsid w:val="57073D4E"/>
    <w:rsid w:val="5742125A"/>
    <w:rsid w:val="58971F13"/>
    <w:rsid w:val="597E1038"/>
    <w:rsid w:val="597E48BB"/>
    <w:rsid w:val="5984186C"/>
    <w:rsid w:val="5A0B3AC2"/>
    <w:rsid w:val="5AB3130A"/>
    <w:rsid w:val="5B0657EA"/>
    <w:rsid w:val="5B9620DF"/>
    <w:rsid w:val="5C7A5EC0"/>
    <w:rsid w:val="5C890E5B"/>
    <w:rsid w:val="5CFE005C"/>
    <w:rsid w:val="5E807228"/>
    <w:rsid w:val="5F1F2588"/>
    <w:rsid w:val="5F72615C"/>
    <w:rsid w:val="5F894575"/>
    <w:rsid w:val="604329E0"/>
    <w:rsid w:val="61134A5C"/>
    <w:rsid w:val="61AE12ED"/>
    <w:rsid w:val="61DF56BF"/>
    <w:rsid w:val="622D31D4"/>
    <w:rsid w:val="62D51234"/>
    <w:rsid w:val="63292B89"/>
    <w:rsid w:val="64143792"/>
    <w:rsid w:val="65195F7C"/>
    <w:rsid w:val="666B7289"/>
    <w:rsid w:val="671F3F18"/>
    <w:rsid w:val="67332F43"/>
    <w:rsid w:val="67B24232"/>
    <w:rsid w:val="68170ED1"/>
    <w:rsid w:val="68D714CC"/>
    <w:rsid w:val="697E590F"/>
    <w:rsid w:val="6A9207C1"/>
    <w:rsid w:val="6B0576B7"/>
    <w:rsid w:val="6B57088F"/>
    <w:rsid w:val="6B6F2343"/>
    <w:rsid w:val="6EA12898"/>
    <w:rsid w:val="6EC93246"/>
    <w:rsid w:val="6F4B3B19"/>
    <w:rsid w:val="709C419D"/>
    <w:rsid w:val="71A30ED3"/>
    <w:rsid w:val="72216372"/>
    <w:rsid w:val="725003D2"/>
    <w:rsid w:val="72E01163"/>
    <w:rsid w:val="743F55B1"/>
    <w:rsid w:val="74B754C9"/>
    <w:rsid w:val="756A7E24"/>
    <w:rsid w:val="75872696"/>
    <w:rsid w:val="75F83769"/>
    <w:rsid w:val="76CF501B"/>
    <w:rsid w:val="770F5EDA"/>
    <w:rsid w:val="778E1A8B"/>
    <w:rsid w:val="77BA64EE"/>
    <w:rsid w:val="785F6368"/>
    <w:rsid w:val="789C46D0"/>
    <w:rsid w:val="78B44BCA"/>
    <w:rsid w:val="79C33CEA"/>
    <w:rsid w:val="79FA6C22"/>
    <w:rsid w:val="7AA413FE"/>
    <w:rsid w:val="7B193246"/>
    <w:rsid w:val="7BF3642D"/>
    <w:rsid w:val="7DA24695"/>
    <w:rsid w:val="7DD40AD4"/>
    <w:rsid w:val="7DEA1927"/>
    <w:rsid w:val="7E7F6B52"/>
    <w:rsid w:val="7F80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5BB48"/>
  <w15:docId w15:val="{BB696297-F643-4536-8A64-A983802B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340" w:after="330" w:line="578" w:lineRule="auto"/>
      <w:jc w:val="center"/>
      <w:outlineLvl w:val="0"/>
    </w:pPr>
    <w:rPr>
      <w:rFonts w:eastAsiaTheme="majorEastAsia"/>
      <w:b/>
      <w:bCs/>
      <w:kern w:val="44"/>
      <w:sz w:val="44"/>
      <w:szCs w:val="44"/>
    </w:rPr>
  </w:style>
  <w:style w:type="paragraph" w:styleId="2">
    <w:name w:val="heading 2"/>
    <w:basedOn w:val="a"/>
    <w:next w:val="a"/>
    <w:link w:val="20"/>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5" w:lineRule="auto"/>
      <w:outlineLvl w:val="2"/>
    </w:pPr>
    <w:rPr>
      <w:rFonts w:eastAsiaTheme="majorEastAsia"/>
      <w:b/>
      <w:bCs/>
      <w:sz w:val="30"/>
      <w:szCs w:val="32"/>
    </w:rPr>
  </w:style>
  <w:style w:type="paragraph" w:styleId="4">
    <w:name w:val="heading 4"/>
    <w:basedOn w:val="a"/>
    <w:next w:val="a"/>
    <w:link w:val="40"/>
    <w:uiPriority w:val="9"/>
    <w:unhideWhenUsed/>
    <w:qFormat/>
    <w:pPr>
      <w:keepNext/>
      <w:keepLines/>
      <w:spacing w:beforeLines="50" w:before="50" w:afterLines="50" w:after="50" w:line="377"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pPr>
      <w:spacing w:line="360" w:lineRule="auto"/>
      <w:ind w:firstLineChars="200" w:firstLine="560"/>
    </w:pPr>
    <w:rPr>
      <w:rFonts w:ascii="宋体"/>
    </w:rPr>
  </w:style>
  <w:style w:type="paragraph" w:styleId="a5">
    <w:name w:val="annotation text"/>
    <w:basedOn w:val="a"/>
    <w:link w:val="a6"/>
    <w:uiPriority w:val="99"/>
    <w:semiHidden/>
    <w:unhideWhenUsed/>
    <w:qFormat/>
  </w:style>
  <w:style w:type="paragraph" w:styleId="TOC3">
    <w:name w:val="toc 3"/>
    <w:basedOn w:val="a"/>
    <w:next w:val="a"/>
    <w:uiPriority w:val="39"/>
    <w:qFormat/>
    <w:pPr>
      <w:spacing w:line="360" w:lineRule="auto"/>
      <w:ind w:leftChars="400" w:left="840" w:firstLineChars="200" w:firstLine="560"/>
    </w:pPr>
    <w:rPr>
      <w:rFonts w:eastAsia="仿宋"/>
      <w:sz w:val="28"/>
    </w:rPr>
  </w:style>
  <w:style w:type="paragraph" w:styleId="a7">
    <w:name w:val="Balloon Text"/>
    <w:basedOn w:val="a"/>
    <w:link w:val="a8"/>
    <w:uiPriority w:val="99"/>
    <w:unhideWhenUsed/>
    <w:qFormat/>
    <w:pPr>
      <w:ind w:firstLineChars="200" w:firstLine="560"/>
    </w:pPr>
    <w:rPr>
      <w:rFonts w:eastAsia="仿宋"/>
      <w:sz w:val="18"/>
      <w:szCs w:val="18"/>
    </w:rPr>
  </w:style>
  <w:style w:type="paragraph" w:styleId="a9">
    <w:name w:val="footer"/>
    <w:basedOn w:val="a"/>
    <w:link w:val="aa"/>
    <w:uiPriority w:val="99"/>
    <w:unhideWhenUsed/>
    <w:qFormat/>
    <w:pPr>
      <w:tabs>
        <w:tab w:val="center" w:pos="4153"/>
        <w:tab w:val="right" w:pos="8306"/>
      </w:tabs>
      <w:snapToGrid w:val="0"/>
      <w:spacing w:line="360" w:lineRule="auto"/>
      <w:ind w:firstLineChars="200" w:firstLine="560"/>
    </w:pPr>
    <w:rPr>
      <w:rFonts w:eastAsia="仿宋"/>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360" w:lineRule="auto"/>
      <w:ind w:firstLineChars="200" w:firstLine="560"/>
      <w:jc w:val="center"/>
    </w:pPr>
    <w:rPr>
      <w:rFonts w:eastAsia="仿宋"/>
      <w:sz w:val="18"/>
      <w:szCs w:val="18"/>
    </w:rPr>
  </w:style>
  <w:style w:type="paragraph" w:styleId="TOC1">
    <w:name w:val="toc 1"/>
    <w:basedOn w:val="a"/>
    <w:next w:val="a"/>
    <w:uiPriority w:val="39"/>
    <w:unhideWhenUsed/>
    <w:qFormat/>
    <w:pPr>
      <w:spacing w:line="360" w:lineRule="auto"/>
      <w:ind w:firstLineChars="200" w:firstLine="560"/>
    </w:pPr>
    <w:rPr>
      <w:rFonts w:eastAsia="仿宋"/>
      <w:kern w:val="21"/>
      <w:sz w:val="28"/>
    </w:rPr>
  </w:style>
  <w:style w:type="paragraph" w:styleId="ad">
    <w:name w:val="Subtitle"/>
    <w:basedOn w:val="a"/>
    <w:next w:val="a"/>
    <w:uiPriority w:val="11"/>
    <w:qFormat/>
    <w:pPr>
      <w:spacing w:before="300" w:after="60" w:line="240" w:lineRule="exact"/>
      <w:outlineLvl w:val="2"/>
    </w:pPr>
    <w:rPr>
      <w:rFonts w:ascii="Calibri Light" w:hAnsi="Calibri Light"/>
      <w:b/>
      <w:bCs/>
      <w:kern w:val="28"/>
      <w:sz w:val="30"/>
      <w:szCs w:val="32"/>
    </w:rPr>
  </w:style>
  <w:style w:type="paragraph" w:styleId="TOC2">
    <w:name w:val="toc 2"/>
    <w:basedOn w:val="a"/>
    <w:next w:val="a"/>
    <w:uiPriority w:val="39"/>
    <w:unhideWhenUsed/>
    <w:qFormat/>
    <w:pPr>
      <w:spacing w:line="360" w:lineRule="auto"/>
      <w:ind w:leftChars="200" w:left="420" w:firstLineChars="200" w:firstLine="560"/>
    </w:pPr>
    <w:rPr>
      <w:rFonts w:eastAsia="仿宋"/>
      <w:kern w:val="21"/>
      <w:sz w:val="2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pPr>
    <w:rPr>
      <w:rFonts w:ascii="宋体" w:eastAsia="仿宋" w:hAnsi="宋体" w:cs="宋体"/>
    </w:rPr>
  </w:style>
  <w:style w:type="paragraph" w:styleId="ae">
    <w:name w:val="Normal (Web)"/>
    <w:basedOn w:val="a"/>
    <w:uiPriority w:val="99"/>
    <w:unhideWhenUsed/>
    <w:qFormat/>
    <w:pPr>
      <w:spacing w:before="100" w:beforeAutospacing="1" w:after="100" w:afterAutospacing="1" w:line="360" w:lineRule="auto"/>
      <w:ind w:firstLineChars="200" w:firstLine="560"/>
    </w:pPr>
    <w:rPr>
      <w:rFonts w:ascii="宋体" w:eastAsia="仿宋" w:hAnsi="宋体" w:cs="宋体"/>
      <w:sz w:val="28"/>
    </w:rPr>
  </w:style>
  <w:style w:type="paragraph" w:styleId="af">
    <w:name w:val="Title"/>
    <w:basedOn w:val="a"/>
    <w:next w:val="a"/>
    <w:link w:val="af0"/>
    <w:qFormat/>
    <w:pPr>
      <w:spacing w:before="340" w:after="200" w:line="360" w:lineRule="auto"/>
      <w:jc w:val="center"/>
      <w:outlineLvl w:val="0"/>
    </w:pPr>
    <w:rPr>
      <w:rFonts w:ascii="Arial" w:hAnsi="Arial"/>
      <w:b/>
      <w:sz w:val="36"/>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563C1"/>
      <w:u w:val="single"/>
    </w:rPr>
  </w:style>
  <w:style w:type="character" w:styleId="af5">
    <w:name w:val="annotation reference"/>
    <w:basedOn w:val="a0"/>
    <w:uiPriority w:val="99"/>
    <w:semiHidden/>
    <w:unhideWhenUsed/>
    <w:qFormat/>
    <w:rPr>
      <w:sz w:val="21"/>
      <w:szCs w:val="21"/>
    </w:rPr>
  </w:style>
  <w:style w:type="character" w:customStyle="1" w:styleId="10">
    <w:name w:val="标题 1 字符"/>
    <w:link w:val="1"/>
    <w:uiPriority w:val="9"/>
    <w:qFormat/>
    <w:rPr>
      <w:rFonts w:eastAsiaTheme="majorEastAsia"/>
      <w:b/>
      <w:bCs/>
      <w:kern w:val="44"/>
      <w:sz w:val="44"/>
      <w:szCs w:val="44"/>
    </w:rPr>
  </w:style>
  <w:style w:type="character" w:customStyle="1" w:styleId="af0">
    <w:name w:val="标题 字符"/>
    <w:basedOn w:val="a0"/>
    <w:link w:val="af"/>
    <w:qFormat/>
    <w:rPr>
      <w:rFonts w:ascii="Arial" w:hAnsi="Arial"/>
      <w:b/>
      <w:sz w:val="36"/>
      <w:szCs w:val="24"/>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character" w:customStyle="1" w:styleId="ac">
    <w:name w:val="页眉 字符"/>
    <w:basedOn w:val="a0"/>
    <w:link w:val="ab"/>
    <w:uiPriority w:val="99"/>
    <w:qFormat/>
    <w:rPr>
      <w:rFonts w:ascii="Calibri" w:eastAsia="仿宋" w:hAnsi="Calibri" w:cs="黑体"/>
      <w:sz w:val="18"/>
      <w:szCs w:val="18"/>
    </w:rPr>
  </w:style>
  <w:style w:type="character" w:customStyle="1" w:styleId="aa">
    <w:name w:val="页脚 字符"/>
    <w:basedOn w:val="a0"/>
    <w:link w:val="a9"/>
    <w:uiPriority w:val="99"/>
    <w:qFormat/>
    <w:rPr>
      <w:rFonts w:ascii="Calibri" w:eastAsia="仿宋" w:hAnsi="Calibri" w:cs="黑体"/>
      <w:sz w:val="18"/>
      <w:szCs w:val="18"/>
    </w:rPr>
  </w:style>
  <w:style w:type="paragraph" w:customStyle="1" w:styleId="11">
    <w:name w:val="列出段落1"/>
    <w:basedOn w:val="a"/>
    <w:uiPriority w:val="34"/>
    <w:qFormat/>
    <w:pPr>
      <w:spacing w:line="360" w:lineRule="auto"/>
      <w:ind w:firstLineChars="200" w:firstLine="420"/>
    </w:pPr>
    <w:rPr>
      <w:rFonts w:eastAsia="仿宋"/>
      <w:sz w:val="28"/>
    </w:rPr>
  </w:style>
  <w:style w:type="character" w:customStyle="1" w:styleId="30">
    <w:name w:val="标题 3 字符"/>
    <w:basedOn w:val="a0"/>
    <w:link w:val="3"/>
    <w:uiPriority w:val="9"/>
    <w:qFormat/>
    <w:rPr>
      <w:rFonts w:eastAsiaTheme="majorEastAsia"/>
      <w:b/>
      <w:bCs/>
      <w:sz w:val="30"/>
      <w:szCs w:val="32"/>
    </w:rPr>
  </w:style>
  <w:style w:type="paragraph" w:customStyle="1" w:styleId="Style2">
    <w:name w:val="_Style 2"/>
    <w:basedOn w:val="1"/>
    <w:next w:val="a"/>
    <w:uiPriority w:val="39"/>
    <w:unhideWhenUsed/>
    <w:qFormat/>
    <w:pPr>
      <w:spacing w:before="240" w:after="0" w:line="259" w:lineRule="auto"/>
      <w:outlineLvl w:val="9"/>
    </w:pPr>
    <w:rPr>
      <w:rFonts w:ascii="Calibri Light" w:eastAsia="宋体" w:hAnsi="Calibri Light"/>
      <w:b w:val="0"/>
      <w:bCs w:val="0"/>
      <w:color w:val="2E74B5"/>
      <w:kern w:val="0"/>
      <w:szCs w:val="32"/>
    </w:rPr>
  </w:style>
  <w:style w:type="paragraph" w:customStyle="1" w:styleId="TOC10">
    <w:name w:val="TOC 标题1"/>
    <w:basedOn w:val="1"/>
    <w:next w:val="a"/>
    <w:uiPriority w:val="39"/>
    <w:unhideWhenUsed/>
    <w:qFormat/>
    <w:pPr>
      <w:spacing w:before="240" w:after="0" w:line="259" w:lineRule="auto"/>
      <w:outlineLvl w:val="9"/>
    </w:pPr>
    <w:rPr>
      <w:rFonts w:asciiTheme="majorHAnsi" w:hAnsiTheme="majorHAnsi" w:cstheme="majorBidi"/>
      <w:b w:val="0"/>
      <w:bCs w:val="0"/>
      <w:color w:val="2E74B5" w:themeColor="accent1" w:themeShade="BF"/>
      <w:kern w:val="0"/>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a8">
    <w:name w:val="批注框文本 字符"/>
    <w:basedOn w:val="a0"/>
    <w:link w:val="a7"/>
    <w:uiPriority w:val="99"/>
    <w:semiHidden/>
    <w:qFormat/>
    <w:rPr>
      <w:rFonts w:eastAsia="仿宋"/>
      <w:sz w:val="18"/>
      <w:szCs w:val="18"/>
    </w:rPr>
  </w:style>
  <w:style w:type="character" w:customStyle="1" w:styleId="a4">
    <w:name w:val="文档结构图 字符"/>
    <w:basedOn w:val="a0"/>
    <w:link w:val="a3"/>
    <w:uiPriority w:val="99"/>
    <w:semiHidden/>
    <w:qFormat/>
    <w:rPr>
      <w:rFonts w:ascii="宋体"/>
      <w:sz w:val="24"/>
      <w:szCs w:val="24"/>
    </w:rPr>
  </w:style>
  <w:style w:type="paragraph" w:styleId="af6">
    <w:name w:val="List Paragraph"/>
    <w:basedOn w:val="a"/>
    <w:uiPriority w:val="99"/>
    <w:qFormat/>
    <w:pPr>
      <w:ind w:firstLineChars="200" w:firstLine="420"/>
    </w:pPr>
  </w:style>
  <w:style w:type="character" w:customStyle="1" w:styleId="a6">
    <w:name w:val="批注文字 字符"/>
    <w:basedOn w:val="a0"/>
    <w:link w:val="a5"/>
    <w:uiPriority w:val="99"/>
    <w:semiHidden/>
    <w:qFormat/>
    <w:rPr>
      <w:sz w:val="24"/>
      <w:szCs w:val="24"/>
    </w:rPr>
  </w:style>
  <w:style w:type="character" w:customStyle="1" w:styleId="af2">
    <w:name w:val="批注主题 字符"/>
    <w:basedOn w:val="a6"/>
    <w:link w:val="af1"/>
    <w:uiPriority w:val="99"/>
    <w:semiHidden/>
    <w:qFormat/>
    <w:rPr>
      <w:b/>
      <w:bCs/>
      <w:sz w:val="24"/>
      <w:szCs w:val="24"/>
    </w:rPr>
  </w:style>
  <w:style w:type="paragraph" w:customStyle="1" w:styleId="12">
    <w:name w:val="修订1"/>
    <w:hidden/>
    <w:uiPriority w:val="99"/>
    <w:semiHidden/>
    <w:qFormat/>
    <w:rPr>
      <w:sz w:val="24"/>
      <w:szCs w:val="24"/>
    </w:rPr>
  </w:style>
  <w:style w:type="paragraph" w:styleId="af7">
    <w:name w:val="Revision"/>
    <w:hidden/>
    <w:uiPriority w:val="99"/>
    <w:semiHidden/>
    <w:rsid w:val="005425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ADD05AF6-CE8C-48DC-A23A-27D5539ADD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4559</TotalTime>
  <Pages>1</Pages>
  <Words>957</Words>
  <Characters>5456</Characters>
  <Application>Microsoft Office Word</Application>
  <DocSecurity>0</DocSecurity>
  <Lines>45</Lines>
  <Paragraphs>12</Paragraphs>
  <ScaleCrop>false</ScaleCrop>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郭伟</dc:creator>
  <cp:lastModifiedBy>内控修订</cp:lastModifiedBy>
  <cp:revision>1509</cp:revision>
  <dcterms:created xsi:type="dcterms:W3CDTF">2016-04-13T06:47:00Z</dcterms:created>
  <dcterms:modified xsi:type="dcterms:W3CDTF">2022-05-16T09:32:00Z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7C9E2DD8ACFA4614A3BBFA7D81EB7900</vt:lpwstr>
  </property>
</Properties>
</file>